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Одобрены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президиумом Совета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Президенте Российской Федерации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противодействию коррупции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(протокол от 25 сентября 2012 г. N 34)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МЕТОДИЧЕСКИЕ РЕКОМЕНДАЦИИ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"ОРГАНИЗАЦИЯ В ФЕДЕРАЛЬНЫХ ОРГАНАХ ИСПОЛНИТЕЛЬНОЙ ВЛАСТИ АНТИКОРРУПЦИОННОЙ ЭКСПЕРТИЗЫ НОРМАТИВНЫХ ПРАВОВЫХ АКТОВ И ИХ ПРОЕКТОВ"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Общие положения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1.1. Настоящие методические рекомендации подготовлены в целях организации в федеральных органах исполнительной власти антикоррупционной экспертизы нормативных правовых актов &lt;1&gt;  и их проектов, предусмотренной </w:t>
      </w:r>
      <w:hyperlink r:id="rId2" w:tgtFrame="Федеральный закон от 17.07.2009 N 172-ФЗ (ред. от 21.11.2011) Об антикоррупционной экспертизе нормативных правовых актов и проектов нормативных правовых актов&quot;{КонсультантПлюс}">
        <w:r>
          <w:rPr>
            <w:rStyle w:val="ListLabel1"/>
            <w:rFonts w:cs="Times New Roman" w:ascii="Times New Roman" w:hAnsi="Times New Roman"/>
            <w:sz w:val="28"/>
            <w:szCs w:val="28"/>
          </w:rPr>
          <w:t>пунктом 3 части 1 статьи 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17 июля 2009 г. N 172-ФЗ "Об антикоррупционной экспертизе нормативных правовых актов и проектов нормативных правовых актов" (далее - Федеральный закон), и устанавливают требования по организации такой экспертизы.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--------------------------------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&lt;1&gt; В настоящих методических рекомендациях под нормативным правовым актом понимается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 - общеобязательных государственных предписаний постоянного или временного характера, рассчитанных на многократное применение (</w:t>
      </w:r>
      <w:hyperlink r:id="rId3" w:tgtFrame="Приказ Минюста РФ от 04.05.2007 N 88 (ред. от 26.05.2009) 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">
        <w:r>
          <w:rPr>
            <w:rStyle w:val="ListLabel2"/>
            <w:rFonts w:cs="Times New Roman" w:ascii="Times New Roman" w:hAnsi="Times New Roman"/>
            <w:sz w:val="24"/>
            <w:szCs w:val="24"/>
          </w:rPr>
          <w:t>Приказ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Министерства юстиции Российской Федерации от 4 мая 2007 г. N 88 "Об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регистрации").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Антикоррупционная экспертиза нормативных правовых актов и их проектов проводится в целях выявления в них коррупциогенных факторов и их последующего устранения.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1.3. Антикоррупционная экспертиза нормативных правовых актов и их проектов осуществляется согласно Федеральному </w:t>
      </w:r>
      <w:hyperlink r:id="rId4" w:tgtFrame="Федеральный закон от 25.12.2008 N 273-ФЗ (ред. от 29.12.2012) О противодействии коррупции&quot;{КонсультантПлюс}">
        <w:r>
          <w:rPr>
            <w:rStyle w:val="ListLabel1"/>
            <w:rFonts w:cs="Times New Roman" w:ascii="Times New Roman" w:hAnsi="Times New Roman"/>
            <w:sz w:val="28"/>
            <w:szCs w:val="28"/>
          </w:rPr>
          <w:t>закону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25 декабря 2008 г. N 273-ФЗ "О противодействии коррупции", </w:t>
      </w:r>
      <w:hyperlink r:id="rId5" w:tgtFrame="Указ Президента РФ от 13.04.2010 N 460 (ред. от 13.03.2012) О Национальной стратегии противодействия коррупции и Национальном плане противодействия коррупции на 2010 - 2011 годы&quot;{КонсультантПлюс}">
        <w:r>
          <w:rPr>
            <w:rStyle w:val="ListLabel1"/>
            <w:rFonts w:cs="Times New Roman" w:ascii="Times New Roman" w:hAnsi="Times New Roman"/>
            <w:sz w:val="28"/>
            <w:szCs w:val="28"/>
          </w:rPr>
          <w:t>Указу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Президента Российской Федерации от 13 апреля 2010 г. N 460 "О Национальной стратегии противодействия коррупции и Национальном плане противодействия коррупции на 2010 - 2011 годы", </w:t>
      </w:r>
      <w:hyperlink r:id="rId6" w:tgtFrame="Указ Президента РФ от 13.03.2012 N 297 (ред. от 19.03.2013) 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>
        <w:r>
          <w:rPr>
            <w:rStyle w:val="ListLabel1"/>
            <w:rFonts w:cs="Times New Roman" w:ascii="Times New Roman" w:hAnsi="Times New Roman"/>
            <w:sz w:val="28"/>
            <w:szCs w:val="28"/>
          </w:rPr>
          <w:t>Указу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Президента Российской Федерации от 13 марта 2012 г.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 в соответствии с Федеральным </w:t>
      </w:r>
      <w:hyperlink r:id="rId7" w:tgtFrame="Федеральный закон от 17.07.2009 N 172-ФЗ (ред. от 21.11.2011) Об антикоррупционной экспертизе нормативных правовых актов и проектов нормативных правовых актов&quot;{КонсультантПлюс}">
        <w:r>
          <w:rPr>
            <w:rStyle w:val="ListLabel1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8" w:tgtFrame="Постановление Правительства РФ от 26.02.2010 N 96 (ред. от 27.03.2013) Об антикоррупционной экспертизе нормативных правовых актов и проектов нормативных правовых актов">
        <w:r>
          <w:rPr>
            <w:rStyle w:val="ListLabel1"/>
            <w:rFonts w:cs="Times New Roman" w:ascii="Times New Roman" w:hAnsi="Times New Roman"/>
            <w:sz w:val="28"/>
            <w:szCs w:val="28"/>
          </w:rPr>
          <w:t>Правилами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актов", </w:t>
      </w:r>
      <w:hyperlink r:id="rId9" w:tgtFrame="Постановление Правительства РФ от 26.02.2010 N 96 (ред. от 27.03.2013) Об антикоррупционной экспертизе нормативных правовых актов и проектов нормативных правовых актов">
        <w:r>
          <w:rPr>
            <w:rStyle w:val="ListLabel1"/>
            <w:rFonts w:cs="Times New Roman" w:ascii="Times New Roman" w:hAnsi="Times New Roman"/>
            <w:sz w:val="28"/>
            <w:szCs w:val="28"/>
          </w:rPr>
          <w:t>Методикой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тем же постановлением (далее - Методика проведения антикоррупционной экспертизы), </w:t>
      </w:r>
      <w:hyperlink r:id="rId10" w:tgtFrame="Постановление Правительства РФ от 13.08.1997 N 1009 (ред. от 27.03.2013) Об утверждении Правил подготовки нормативных правовых актов федеральных органов исполнительной власти и их государственной регистрации">
        <w:r>
          <w:rPr>
            <w:rStyle w:val="ListLabel1"/>
            <w:rFonts w:cs="Times New Roman" w:ascii="Times New Roman" w:hAnsi="Times New Roman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</w:t>
      </w:r>
      <w:hyperlink r:id="rId11" w:tgtFrame="Постановление Правительства РФ от 01.06.2004 N 260 (ред. от 24.04.2013) О Регламенте Правительства Российской Федерации и Положении об Аппарате Правительства Российской Федерации&quot;{КонсультантПлюс}">
        <w:r>
          <w:rPr>
            <w:rStyle w:val="ListLabel1"/>
            <w:rFonts w:cs="Times New Roman" w:ascii="Times New Roman" w:hAnsi="Times New Roman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Российской Федерации от 1 июня 2004 г. N 260 "О Регламенте Правительства Российской Федерации и Положении об Аппарате Правительства Российской Федерации" (далее - Регламент Правительства), </w:t>
      </w:r>
      <w:hyperlink r:id="rId12" w:tgtFrame="Постановление Правительства РФ от 19.01.2005 N 30 (ред. от 06.09.2012) О Типовом регламенте взаимодействия федеральных органов исполнительной власти&quot;{КонсультантПлюс}">
        <w:r>
          <w:rPr>
            <w:rStyle w:val="ListLabel1"/>
            <w:rFonts w:cs="Times New Roman" w:ascii="Times New Roman" w:hAnsi="Times New Roman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Российской Федерации от 19 января 2005 г. N 30 "О Типовом регламенте взаимодействия федеральных органов исполнительной власти", </w:t>
      </w:r>
      <w:hyperlink r:id="rId13" w:tgtFrame="Постановление Правительства РФ от 28.07.2005 N 452 (ред. от 27.03.2013) О Типовом регламенте внутренней организации федеральных органов исполнительной власти&quot;{КонсультантПлюс}">
        <w:r>
          <w:rPr>
            <w:rStyle w:val="ListLabel1"/>
            <w:rFonts w:cs="Times New Roman" w:ascii="Times New Roman" w:hAnsi="Times New Roman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от 28 июля 2005 г. N 452 "О Типовом регламенте внутренней организации федеральных органов исполнительной власти".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1.4. Коррупциогенными факторами являются положения нормативных правовых актов и их проектов,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 Перечень коррупциогенных факторов определен в </w:t>
      </w:r>
      <w:hyperlink r:id="rId14" w:tgtFrame="Постановление Правительства РФ от 26.02.2010 N 96 (ред. от 27.03.2013) Об антикоррупционной экспертизе нормативных правовых актов и проектов нормативных правовых актов">
        <w:r>
          <w:rPr>
            <w:rStyle w:val="ListLabel1"/>
            <w:rFonts w:cs="Times New Roman" w:ascii="Times New Roman" w:hAnsi="Times New Roman"/>
            <w:sz w:val="28"/>
            <w:szCs w:val="28"/>
          </w:rPr>
          <w:t>Методике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проведения антикоррупционной экспертизы.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Федеральные органы исполнительной власти в обязательном порядке проводят антикоррупционную экспертизу проектов ведомственных нормативных правовых актов.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антикоррупционной экспертизы нормативного правового акта (проекта нормативного правового акта) его положения оцениваются во взаимосвязи с другими нормативными правовыми актами.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проведения федеральными органами исполнительной власти антикоррупционной экспертизы нормативных правовых актов и их проектов должны быть объективными и проверяемыми.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заключении по результатам проведения антикоррупционной экспертизы должно содержаться указание на наличие или отсутствие в нормативном правовом акте (проекте нормативного правового акта) коррупциогенных факторов, предусмотренных </w:t>
      </w:r>
      <w:hyperlink r:id="rId15" w:tgtFrame="Постановление Правительства РФ от 26.02.2010 N 96 (ред. от 27.03.2013) Об антикоррупционной экспертизе нормативных правовых актов и проектов нормативных правовых актов">
        <w:r>
          <w:rPr>
            <w:rStyle w:val="ListLabel1"/>
            <w:rFonts w:cs="Times New Roman" w:ascii="Times New Roman" w:hAnsi="Times New Roman"/>
            <w:sz w:val="28"/>
            <w:szCs w:val="28"/>
          </w:rPr>
          <w:t>Методикой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проведения антикоррупционной экспертизы.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Антикоррупционная экспертиза нормативных правовых актов и их проектов в федеральных органах исполнительной власти проводится компетентными лицами, прошедшими обучение по соответствующим образовательным программам.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Федеральные органы исполнительной власти, их должностные лица при организации проведения независимой антикоррупционной экспертизы нормативных правовых актов (проектов нормативных правовых актов) взаимодействуют с физическими и юридическими лицами, аккредитованными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их проектов.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1.6. В целях обеспечения единства правового пространства Российской Федерации при проведении антикоррупционной экспертизы нормативных правовых актов и их проектов федеральные органы исполнительной власти должны учитывать антикоррупционные положения федеральных законов, </w:t>
      </w:r>
      <w:hyperlink r:id="rId16" w:tgtFrame="Указ Президента РФ от 13.04.2010 N 460 (ред. от 13.03.2012) О Национальной стратегии противодействия коррупции и Национальном плане противодействия коррупции на 2010 - 2011 годы&quot;{КонсультантПлюс}">
        <w:r>
          <w:rPr>
            <w:rStyle w:val="ListLabel1"/>
            <w:rFonts w:cs="Times New Roman" w:ascii="Times New Roman" w:hAnsi="Times New Roman"/>
            <w:sz w:val="28"/>
            <w:szCs w:val="28"/>
          </w:rPr>
          <w:t>Национальной стратегии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противодействия коррупции, </w:t>
      </w:r>
      <w:hyperlink r:id="rId17" w:tgtFrame="Указ Президента РФ от 13.03.2012 N 297 (ред. от 19.03.2013) 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>
        <w:r>
          <w:rPr>
            <w:rStyle w:val="ListLabel1"/>
            <w:rFonts w:cs="Times New Roman" w:ascii="Times New Roman" w:hAnsi="Times New Roman"/>
            <w:sz w:val="28"/>
            <w:szCs w:val="28"/>
          </w:rPr>
          <w:t>Национального плана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противодействия коррупции на соответствующий период, указов Президента Российской Федерации, постановлений Правительства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1.7. Антикоррупционная экспертиза нормативных правовых актов, принятых реорганизованными и (или) упраздненными органами и организациями, проводится органами и организациями, которым переданы полномочия реорганизованных и (или) упраздненных органов и организаций, при мониторинге их применения.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 Антикоррупционная экспертиза нормативных правовых актов, принятых реорганизованными и (или) упраздненными органами и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их применения.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1.9. Совершенствование организационных основ антикоррупционной экспертизы нормативных правовых актов и их проектов и повышение ее результативности является одним из основных направлений реализации государственной антикоррупционной политики.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Организация проведения антикоррупционной экспертизы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нормативных правовых актов и их проектов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2.1. В целях обеспечения организации проведения антикоррупционной экспертизы в соответствии с особенностями статуса федерального органа исполнительной власти и его структуры на основании </w:t>
      </w:r>
      <w:hyperlink r:id="rId18" w:tgtFrame="Федеральный закон от 17.07.2009 N 172-ФЗ (ред. от 21.11.2011) Об антикоррупционной экспертизе нормативных правовых актов и проектов нормативных правовых актов&quot;{КонсультантПлюс}">
        <w:r>
          <w:rPr>
            <w:rStyle w:val="ListLabel1"/>
            <w:rFonts w:cs="Times New Roman" w:ascii="Times New Roman" w:hAnsi="Times New Roman"/>
            <w:sz w:val="28"/>
            <w:szCs w:val="28"/>
          </w:rPr>
          <w:t>п. 3 ч. 1 ст. 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приказом руководителя федерального органа исполнительной власти утверждается порядок проведения антикоррупционной экспертизы нормативных правовых актов и их проектов в федеральном органе исполнительной власти.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Порядком проведения антикоррупционной экспертизы нормативных правовых актов и их проектов, утверждаемым руководителем федерального органа исполнительной власти, определяется структурное подразделение, уполномоченное на проведение антикоррупционной экспертизы.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Предполагается, что таким структурным подразделением целесообразно определить юридическую службу федерального органа исполнительной власти.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Антикоррупционная экспертиза нормативных правовых актов проводится уполномоченным структурным подразделением федерального органа исполнительной власти при мониторинге их применения, а антикоррупционная экспертиза проектов нормативных правовых актов - при проведении их правовой экспертизы.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Структурное подразделение федерального органа исполнительной власти, уполномоченное на проведение антикоррупционной экспертизы, контролирует размещение на официальном сайте федерального органа исполнительной власти проектов нормативных правовых актов в целях обеспечения возможности проведения независимой антикоррупционной экспертизы.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2.5. Структурное подразделение федерального органа исполнительной власти, его должностные лица при разработке проекта нормативного правового акта в соответствии с </w:t>
      </w:r>
      <w:hyperlink r:id="rId19" w:tgtFrame="Постановление Правительства РФ от 13.08.1997 N 1009 (ред. от 27.03.2013) Об утверждении Правил подготовки нормативных правовых актов федеральных органов исполнительной власти и их государственной регистрации">
        <w:r>
          <w:rPr>
            <w:rStyle w:val="ListLabel1"/>
            <w:rFonts w:cs="Times New Roman" w:ascii="Times New Roman" w:hAnsi="Times New Roman"/>
            <w:sz w:val="28"/>
            <w:szCs w:val="28"/>
          </w:rPr>
          <w:t>Правилами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1009, принимают меры, направленные на исключение норм, содержащих коррупциогенные факторы, предусмотренные </w:t>
      </w:r>
      <w:hyperlink r:id="rId20" w:tgtFrame="Постановление Правительства РФ от 26.02.2010 N 96 (ред. от 27.03.2013) Об антикоррупционной экспертизе нормативных правовых актов и проектов нормативных правовых актов">
        <w:r>
          <w:rPr>
            <w:rStyle w:val="ListLabel1"/>
            <w:rFonts w:cs="Times New Roman" w:ascii="Times New Roman" w:hAnsi="Times New Roman"/>
            <w:sz w:val="28"/>
            <w:szCs w:val="28"/>
          </w:rPr>
          <w:t>Методикой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проведения антикоррупционной экспертизы.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 Проект нормативного правового акта визируется руководителем структурного подразделения, разработавшего проект (лицом, его замещающим), и направляется на рассмотрение в (наименование структурного подразделения, уполномоченного на проведение антикоррупционной экспертизы).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 Срок проведения антикоррупционной экспертизы проектов нормативных правовых актов структурным подразделением, уполномоченным на проведение антикоррупционной экспертизы, не может превышать срока проведения правовой экспертизы.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2.8. (Наименование структурного подразделения, уполномоченного на проведение антикоррупционной экспертизы) проводит антикоррупционную экспертизу поступившего проекта нормативного правового акта в соответствии с </w:t>
      </w:r>
      <w:hyperlink r:id="rId21" w:tgtFrame="Постановление Правительства РФ от 26.02.2010 N 96 (ред. от 27.03.2013) Об антикоррупционной экспертизе нормативных правовых актов и проектов нормативных правовых актов">
        <w:r>
          <w:rPr>
            <w:rStyle w:val="ListLabel1"/>
            <w:rFonts w:cs="Times New Roman" w:ascii="Times New Roman" w:hAnsi="Times New Roman"/>
            <w:sz w:val="28"/>
            <w:szCs w:val="28"/>
          </w:rPr>
          <w:t>Методикой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проведения антикоррупционной экспертизы.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2.10. При организации и осуществлении антикоррупционной экспертизы структурные подразделения федеральных органов исполнительной власти взаимодействуют в рамках своей компетенции, предусмотренной положением о структурном подразделении федерального органа исполнительной власти, в соответствии с утвержденным порядком в федеральном органе исполнительной власти.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2.11. Служебная переписка по вопросам проведения антикоррупционной экспертизы нормативных правовых актов и их проектов проводится по правилам, установленным инструкциями по делопроизводству, утвержденными федеральными органами исполнительной власти.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2.12. По результатам проведения антикоррупционной экспертизы проекта нормативного правового акта оформляется заключение, подготавливаемое в соответствии с </w:t>
      </w:r>
      <w:hyperlink r:id="rId22" w:tgtFrame="Постановление Правительства РФ от 26.02.2010 N 96 (ред. от 27.03.2013) Об антикоррупционной экспертизе нормативных правовых актов и проектов нормативных правовых актов">
        <w:r>
          <w:rPr>
            <w:rStyle w:val="ListLabel1"/>
            <w:rFonts w:cs="Times New Roman" w:ascii="Times New Roman" w:hAnsi="Times New Roman"/>
            <w:sz w:val="28"/>
            <w:szCs w:val="28"/>
          </w:rPr>
          <w:t>Методикой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проведения антикоррупционной экспертизы (далее - Заключение) (образец заключения приведен в </w:t>
      </w:r>
      <w:hyperlink w:anchor="Par117" w:tgtFrame="Ссылка на текущий документ">
        <w:r>
          <w:rPr>
            <w:rStyle w:val="ListLabel1"/>
            <w:rFonts w:cs="Times New Roman" w:ascii="Times New Roman" w:hAnsi="Times New Roman"/>
            <w:sz w:val="28"/>
            <w:szCs w:val="28"/>
          </w:rPr>
          <w:t>приложении N 1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2.13. Заключение с учетом заключений, подготовленных по результатам независимой антикоррупционной экспертизы (при их наличии), представляется для утверждения руководителю (наименование структурного подразделения, уполномоченного на проведение антикоррупционной экспертизы).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2.14. Руководитель (наименование структурного подразделения, уполномоченного на проведение антикоррупционной экспертизы) направляет Заключение в структурное подразделение, разработавшее проект нормативного правового акта.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2.15. При согласии с Заключением, в котором указано на выявленные в проекте нормативного правового акта коррупциогенные факторы, структурное подразделение, разработавшее проект, дорабатывает его и повторно направляет на антикоррупционную экспертизу в структурное подразделение, уполномоченное на проведение антикоррупционной экспертизы.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 При несогласии с Заключением, содержащим указание на наличие коррупциогенных факторов в проекте нормативного правового акта, структурное подразделение, разработавшее проект, проводит согласительные процедуры, установленные нормативным правовым актом федерального органа исполнительной власти.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2.17. Если федеральный орган исполнительной власти получает специальное поручение по проведению антикоррупционной экспертизы, оно поручение исполняется в сроки, установленные </w:t>
      </w:r>
      <w:hyperlink r:id="rId23" w:tgtFrame="Постановление Правительства РФ от 01.06.2004 N 260 (ред. от 24.04.2013) О Регламенте Правительства Российской Федерации и Положении об Аппарате Правительства Российской Федерации&quot;{КонсультантПлюс}">
        <w:r>
          <w:rPr>
            <w:rStyle w:val="ListLabel1"/>
            <w:rFonts w:cs="Times New Roman" w:ascii="Times New Roman" w:hAnsi="Times New Roman"/>
            <w:sz w:val="28"/>
            <w:szCs w:val="28"/>
          </w:rPr>
          <w:t>п. 48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 Правительства.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2.18. Проверка изданных ранее нормативных правовых актов (наименование федерального органа исполнительной власти) с целью выявления в них коррупциогенных факторов осуществляется при мониторинге их применения структурными подразделениями и должностными лицами (наименование федерального органа исполнительной власти) в соответствии со своей компетенцией.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выявления в нормативном правовом акте коррупциогенных факторов соответствующее структурное подразделение направляет указанный нормативный правовой акт в (наименование структурного подразделения, уполномоченного на проведение антикоррупционной экспертизы) для проведения антикоррупционной экспертизы.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2.19. На основании Заключения (наименование структурного подразделения, уполномоченного на проведение антикоррупционной экспертизы) структурное подразделение, ответственное за направление деятельности, соответствующее содержанию нормативного правового акта, готовит предложения по устранению выявленных в нормативном правовом акте коррупциогенных факторов и представляет их руководителю (наименование федерального органа исполнительной власти) или лицу, его замещающему, для принятия решения.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2.20. В случае выявления в действующих нормативных правовых актах коррупциогенных факторов, принятие мер по устранению которых не относится к их компетенции, федеральные органы исполнительной власти письменно информируют об этом Генеральную прокуратуру Российской Федерации (с указанием нормативного правового акта, его норм и коррупциогенных факторов).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2.21. По вопросам проведения антикоррупционной экспертизы в федеральном органе исполнительной власти могут создаваться рабочие группы.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Независимая антикоррупционная экспертиза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3.1.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Федерации, проектов концепций и технических заданий на разработку проектов федеральных законов,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структурное подразделение федерального органа исполнительной власти - разработчик соответствующих проектов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24" w:tgtFrame="Постановление Правительства РФ от 01.06.2004 N 260 (ред. от 24.04.2013) О Регламенте Правительства Российской Федерации и Положении об Аппарате Правительства Российской Федерации&quot;{КонсультантПлюс}">
        <w:r>
          <w:rPr>
            <w:rStyle w:val="ListLabel1"/>
            <w:rFonts w:cs="Times New Roman" w:ascii="Times New Roman" w:hAnsi="Times New Roman"/>
            <w:sz w:val="28"/>
            <w:szCs w:val="28"/>
          </w:rPr>
          <w:t>п. 57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 Правительства, направляет эти проекты в структурное подразделение, ответственное за ведение официального сайта федерального органа исполнительной власти, для размещения на данном сайте с указанием дат начала и окончания приема заключений.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структурное подразделение федерального органа исполнительной власти - разработчик проекта нормативного правового акта в течение рабочего дня, соответствующего дню его направления на рассмотрение в структурное подразделение федерального органа исполнительной власти, ответственное за проведение правовой экспертизы, направляет проект нормативного правового акта в структурное подразделение, ответственное за ведение официального сайта федерального органа исполнительной власти, для размещения на данном сайте с указанием дат начала и окончания приема заключений.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Федеральные органы исполнительной власти создают адреса электронной почты для получения заключений в электронном виде, размещают информацию о данных адресах на своих официальных сайтах в сети Интернет и в течение семи дней со дня создания адреса электронной почты информируют об этом Министерство юстиции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этом в федеральном органе исполнительной власти не может быть создано более одного такого адреса электронной почты.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В случае изменения адреса электронной почты, предназначенного для получения заключений, федеральный орган исполнительной власти не позднее следующего дня после такого изменения размещает информацию о новом адресе электронной почты на своем официальном сайте в сети Интернет и в течение семи дней со дня изменения адреса электронной почты информирует об этом Министерство юстиции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Заключения и их копии принимаются федеральным органом исполнительной власти в бумажном и (или) электронном виде.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3.6. Заключения, поступившие в федеральный орган исполнительной власти в электронном виде, регистрируются в федеральном органе исполнительной власти в порядке, установленном </w:t>
      </w:r>
      <w:hyperlink r:id="rId25" w:tgtFrame="Постановление Правительства РФ от 22.09.2009 N 754 (ред. от 06.04.2013) Об утверждении Положения о системе межведомственного электронного документооборота&quot;{КонсультантПлюс}">
        <w:r>
          <w:rPr>
            <w:rStyle w:val="ListLabel1"/>
            <w:rFonts w:cs="Times New Roman" w:ascii="Times New Roman" w:hAnsi="Times New Roman"/>
            <w:sz w:val="28"/>
            <w:szCs w:val="28"/>
          </w:rPr>
          <w:t>Положением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 системе межведомственного документооборота, утвержденным постановлением Правительства Российской Федерации от 22 сентября 2009 г. N 754.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3.7. Срок размещения проекта нормативного правового акта на официальном сайте федерального органа исполнительной власти в целях обеспечения проведения независимой антикоррупционной экспертизы и срок приема заключений по результатам независимой антикоррупционной экспертизы не могут быть менее семи дней.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3.8. По окончании указанного срока структурное подразделение, ответственное за ведение официального сайта федерального органа исполнительной власти, выдает структурному подразделению федерального органа исполнительной власти - разработчику соответствующего проекта справку о размещении проекта нормативного правового акта на данном сайте с указанием дат проведения независимой антикоррупционной экспертизы, даты окончания приема заключений от независимых экспертов с приложением поступивших заключений по соответствующему проекту.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3.9. Независимые эксперты, получившие аккредитацию на проведение антикоррупционной экспертизы нормативных правовых актов и их проектов, при проведении независимой антикоррупционной экспертизы нормативных правовых актов и их проектов руководствуются </w:t>
      </w:r>
      <w:hyperlink r:id="rId26" w:tgtFrame="Постановление Правительства РФ от 26.02.2010 N 96 (ред. от 27.03.2013) Об антикоррупционной экспертизе нормативных правовых актов и проектов нормативных правовых актов">
        <w:r>
          <w:rPr>
            <w:rStyle w:val="ListLabel1"/>
            <w:rFonts w:cs="Times New Roman" w:ascii="Times New Roman" w:hAnsi="Times New Roman"/>
            <w:sz w:val="28"/>
            <w:szCs w:val="28"/>
          </w:rPr>
          <w:t>Методикой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проведения антикоррупционной экспертизы.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3.10. Федеральные органы исполнительной власти, осуществляющие нормативное правовое регулирование в соответствующей сфере деятельности, принимают для рассмотрения заключения федеральных законов, указов Президента Российской Федерации, постановлений Правительства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3.11. Федеральные органы исполнительной власти, являющиеся разработчиками перечисленных в данном пункте документов, их должностные лица принимают на рассмотрение заключения по проектам федеральных законов, проектам указов Президента Российской Федерации и проектам постановлений Правительства Российской Федерации, проектам концепций и технических заданий на разработку проектов федеральных законов, проектам поправок Правительства Российской Федерации к проектам федеральных законов, а также нормативным правовым актам федеральных органов исполнительной власти и их проектам, затрагивающим права, свободы и обязанности человека и гражданина, устанавливающим правовой статус организаций или имеющим межведомственный характер.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3.12. При внесении в текст проекта нормативного правового акта изменений, влекущих изменение содержания по существу, а также любых изменений положений проекта нормативного правового акта,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проект подлежит повторному размещению на официальном сайте федерального органа исполнительной власти для обеспечения возможности проведения независимой антикоррупционной экспертизы.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3.13. Порядком проведения антикоррупционной экспертизы нормативных правовых актов и их проектов, утвержденным руководителем федерального органа исполнительной власти, определяется структурное подразделение по работе с независимыми экспертами, получившими аккредитацию на проведение антикоррупционной экспертизы нормативных правовых актов и их проектов.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3.14. К проектам нормативных правовых актов, направляемых федеральным органом исполнительной власти вместе с пояснительной запиской в Министерство юстиции Российской Федерации, прилагаются сведения о проведении независимой антикоррупционной экспертизы и копии поступивших заключений.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3.15. Если разработчик проекта нормативного правового акта не согласен с результатами независимой антикоррупционной экспертизы, свидетельствующими о наличии в проекте нормативного правового акта коррупциогенных факторов, к пакету документов, представленных на подпись руководителю федерального органа исполнительной власти, прилагается пояснительная записка с мотивированным несогласием.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3.16. Проекты федеральных законов, указов Президента Российской Федерации нормативного характера и постановлений Правительства Российской Федерации вносятся федеральными органами исполнительной власти Президенту Российской Федерации и (или) в Правительство Российской Федерации с приложением поступивших заключений.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пояснительной записке к указанным проектам нормативных правовых актов отражаются сведения об учтенных предложениях, изложенных в заключениях по проектам нормативных правовых актов.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3.17. Если независимым экспертом выявлены коррупциогенные факторы в нормативном правовом акте, структурное подразделение федерального органа исполнительной власти - разработчик проекта данного акта после получения заключения проводит анализ этого акта на предмет наличия в нем коррупциогенных факторов.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3.18. В случае подтверждения наличия коррупциогенных факторов в нормативном правовом акте, структурное подразделение федерального органа исполнительной власти - разработчик проекта данного акта результаты проведенного анализа и предложения по изменению этого акта докладывает руководству федерального органа исполнительной власти.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3.19. Копии заключений по федеральным законам, указам Президента Российской Федерации, постановлениям Правительства Российской Федерации, нормативным правовым актам федеральных органов исполнительной власти, затрагивающим права, свободы и обязанности человека и гражданина, устанавливающим правовой статус организаций или имеющим межведомственный характер, и проектам указанных нормативных правовых актов принимаются Министерством юстиции Российской Федерации для учета.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3.20. Копии заключений по нормативным правовым актам субъектов Российской Федерации, уставам муниципальных образований и муниципальным правовым актам о внесении изменений в уставы муниципальных образований, а также проектам указанных нормативных правовых актов принимаются соответствующими территориальными органами Министерства юстиции Российской Федерации для учета.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Результаты проведения антикоррупционной экспертизы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4.1. Выявленные в нормативных правовых актах и их проектах коррупциогенные факторы отражаются в заключении, составляемом при проведении антикоррупционной экспертизы в случаях, предусмотренных Федеральным </w:t>
      </w:r>
      <w:hyperlink r:id="rId27" w:tgtFrame="Федеральный закон от 17.07.2009 N 172-ФЗ (ред. от 21.11.2011) Об антикоррупционной экспертизе нормативных правовых актов и проектов нормативных правовых актов&quot;{КонсультантПлюс}">
        <w:r>
          <w:rPr>
            <w:rStyle w:val="ListLabel1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(далее - заключение).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Заключения носят рекомендательный характер и подлежат обязательному рассмотрению соответствующим структурным подразделением федерального органа исполнительной власти.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 Заключения носят обязательный характер в случае проведения Минюстом России антикоррупционной экспертизы нормативных правовых актов федеральных органов исполнительной власти,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при их государственной регистрации.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 Нормативные правовые акты федеральных органов исполнительной власти, затрагивающие права, свободы и обязанности человека и гражданина, устанавливающие правовой статус организаций или имеющие межведомственный характер, при выявлении в них коррупциогенных факторов не подлежат государственной регистрации.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4.5. При выявлении в нормативных правовых актах реорганизованных и (или) упраздненных органов и организаций коррупциогенных факторов органы и организации, которым переданы полномочия реорганизованных и (или) упраздненных органов и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реорганизованного и (или) упраздненного органа или организации коррупциогенных факторов.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4.6. Результаты проведения независимой антикоррупционной экспертизы отражаются в заключении, составленном по форме, утверждаемой Министерством юстиции Российской Федерации.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4.7. При получении заключения, не соответствующего форме, утвержденной Министерством юстиции Российской Федерации, федеральные органы исполнительной власти - разработчики документов рассматривают его в порядке, установленном Федеральным </w:t>
      </w:r>
      <w:hyperlink r:id="rId28" w:tgtFrame="Федеральный закон от 02.05.2006 N 59-ФЗ (ред. от 07.05.2013) О порядке рассмотрения обращений граждан Российской Федерации&quot;{КонсультантПлюс}">
        <w:r>
          <w:rPr>
            <w:rStyle w:val="ListLabel1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 мая 2006 г. N 59-ФЗ "О порядке рассмотрения обращений граждан Российской Федерации".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Отчетность по проведению антикоррупционной экспертизы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 Министерство юстиции Российской Федерации обобщает практику организации проведения антикоррупционной экспертизы нормативных правовых актов и их проектов.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 Структурное подразделение федерального органа исполнительной власти, уполномоченное на проведение антикоррупционной экспертизы, проводит анализ, оценку своей деятельности, а также федерального органа исполнительной власти по результатам проведения антикоррупционной экспертизы нормативных правовых актов и их проектов за каждый полугодовой период.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5.3. Результаты деятельности федерального органа исполнительной власти по проведению антикоррупционной экспертизы нормативных правовых актов и их проектов за первое полугодие и прошедший год подписываются руководителем федерального органа исполнительной власти или его заместителем и представляются в Министерство юстиции Российской Федерации по форме согласно </w:t>
      </w:r>
      <w:hyperlink w:anchor="Par165" w:tgtFrame="Ссылка на текущий документ">
        <w:r>
          <w:rPr>
            <w:rStyle w:val="ListLabel1"/>
            <w:rFonts w:cs="Times New Roman" w:ascii="Times New Roman" w:hAnsi="Times New Roman"/>
            <w:sz w:val="28"/>
            <w:szCs w:val="28"/>
          </w:rPr>
          <w:t>приложению 2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 Результаты деятельности независимых экспертов по проведению антикоррупционной экспертизы нормативных правовых актов федерального органа исполнительной власти и их проектов за первое полугодие и прошедший год подписываются руководителем федерального органа исполнительной власти или его заместителем и представляются в Министерство юстиции Российской Федерации по форме согласно приложению 3) со всеми поступившими заключениями.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Ответственность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Ответственность за некачественное и несвоевременное проведение антикоррупционной экспертизы нормативных правовых актов и их проектов устанавливается в должностных регламентах федеральных государственных гражданских служащих, согласно положениям нормативных правовых актов (регламентов) федеральных органов исполнительной власти.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1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nformat"/>
        <w:rPr/>
      </w:pPr>
      <w:r>
        <w:rPr/>
        <w:t xml:space="preserve">                                              </w:t>
      </w:r>
      <w:r>
        <w:rPr/>
        <w:t>Наименование структурного</w:t>
      </w:r>
    </w:p>
    <w:p>
      <w:pPr>
        <w:pStyle w:val="ConsPlusNonformat"/>
        <w:rPr/>
      </w:pPr>
      <w:r>
        <w:rPr/>
        <w:t xml:space="preserve">                                          </w:t>
      </w:r>
      <w:r>
        <w:rPr/>
        <w:t>подразделения федерального органа</w:t>
      </w:r>
    </w:p>
    <w:p>
      <w:pPr>
        <w:pStyle w:val="ConsPlusNonformat"/>
        <w:rPr/>
      </w:pPr>
      <w:r>
        <w:rPr/>
        <w:t xml:space="preserve">                                                </w:t>
      </w:r>
      <w:r>
        <w:rPr/>
        <w:t>исполнительной власти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bookmarkStart w:id="1" w:name="Par117"/>
      <w:bookmarkEnd w:id="1"/>
      <w:r>
        <w:rPr/>
        <w:t xml:space="preserve">                                </w:t>
      </w:r>
      <w:r>
        <w:rPr/>
        <w:t>ЗАКЛЮЧЕНИЕ</w:t>
      </w:r>
    </w:p>
    <w:p>
      <w:pPr>
        <w:pStyle w:val="ConsPlusNonformat"/>
        <w:rPr/>
      </w:pPr>
      <w:r>
        <w:rPr/>
        <w:t xml:space="preserve">          </w:t>
      </w:r>
      <w:r>
        <w:rPr/>
        <w:t>по результатам проведения антикоррупционной экспертизы</w:t>
      </w:r>
    </w:p>
    <w:p>
      <w:pPr>
        <w:pStyle w:val="ConsPlusNonformat"/>
        <w:rPr/>
      </w:pPr>
      <w:r>
        <w:rPr/>
        <w:t xml:space="preserve">         </w:t>
      </w:r>
      <w:r>
        <w:rPr/>
        <w:t>________________________________________________________</w:t>
      </w:r>
    </w:p>
    <w:p>
      <w:pPr>
        <w:pStyle w:val="ConsPlusNonformat"/>
        <w:rPr/>
      </w:pPr>
      <w:r>
        <w:rPr/>
        <w:t xml:space="preserve">          </w:t>
      </w:r>
      <w:r>
        <w:rPr/>
        <w:t>(наименование нормативного правового акта, его проекта</w:t>
      </w:r>
    </w:p>
    <w:p>
      <w:pPr>
        <w:pStyle w:val="ConsPlusNonformat"/>
        <w:rPr/>
      </w:pPr>
      <w:r>
        <w:rPr/>
        <w:t xml:space="preserve">                           </w:t>
      </w:r>
      <w:r>
        <w:rPr/>
        <w:t>или иного документа)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 xml:space="preserve">    </w:t>
      </w:r>
      <w:r>
        <w:rPr/>
        <w:t xml:space="preserve">В  соответствии с </w:t>
      </w:r>
      <w:hyperlink r:id="rId29" w:tgtFrame="Федеральный закон от 17.07.2009 N 172-ФЗ (ред. от 21.11.2011) Об антикоррупционной экспертизе нормативных правовых актов и проектов нормативных правовых актов&quot;{КонсультантПлюс}">
        <w:r>
          <w:rPr>
            <w:rStyle w:val="ListLabel3"/>
          </w:rPr>
          <w:t>частью 4 статьи 3</w:t>
        </w:r>
      </w:hyperlink>
      <w:r>
        <w:rPr/>
        <w:t xml:space="preserve"> Федерального закона от 17 июля 2009</w:t>
      </w:r>
    </w:p>
    <w:p>
      <w:pPr>
        <w:pStyle w:val="ConsPlusNonformat"/>
        <w:rPr/>
      </w:pPr>
      <w:r>
        <w:rPr/>
        <w:t>г.  N  172-ФЗ "Об антикоррупционной экспертизе нормативных правовых актов и</w:t>
      </w:r>
    </w:p>
    <w:p>
      <w:pPr>
        <w:pStyle w:val="ConsPlusNonformat"/>
        <w:rPr/>
      </w:pPr>
      <w:r>
        <w:rPr/>
        <w:t xml:space="preserve">проектов  нормативных  правовых актов", </w:t>
      </w:r>
      <w:hyperlink r:id="rId30" w:tgtFrame="Федеральный закон от 25.12.2008 N 273-ФЗ (ред. от 29.12.2012) О противодействии коррупции&quot;{КонсультантПлюс}">
        <w:r>
          <w:rPr>
            <w:rStyle w:val="ListLabel3"/>
          </w:rPr>
          <w:t>статьей 6</w:t>
        </w:r>
      </w:hyperlink>
      <w:r>
        <w:rPr/>
        <w:t xml:space="preserve"> Федерального закона от 25</w:t>
      </w:r>
    </w:p>
    <w:p>
      <w:pPr>
        <w:pStyle w:val="ConsPlusNonformat"/>
        <w:rPr/>
      </w:pPr>
      <w:r>
        <w:rPr/>
        <w:t>декабря 2008 г. N 273-ФЗ "О противодействии коррупции"</w:t>
      </w:r>
    </w:p>
    <w:p>
      <w:pPr>
        <w:pStyle w:val="ConsPlusNonformat"/>
        <w:rPr/>
      </w:pPr>
      <w:r>
        <w:rPr/>
        <w:t>и ________________________________________________________________________,</w:t>
      </w:r>
    </w:p>
    <w:p>
      <w:pPr>
        <w:pStyle w:val="ConsPlusNonformat"/>
        <w:rPr/>
      </w:pPr>
      <w:r>
        <w:rPr/>
        <w:t xml:space="preserve">             </w:t>
      </w:r>
      <w:r>
        <w:rPr/>
        <w:t>(ссылка на ведомственный нормативный правовой акт)</w:t>
      </w:r>
    </w:p>
    <w:p>
      <w:pPr>
        <w:pStyle w:val="ConsPlusNonformat"/>
        <w:rPr/>
      </w:pPr>
      <w:r>
        <w:rPr/>
        <w:t>проведена антикоррупционная экспертиза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>(наименование нормативного правового акта, его проекта или иного документа)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 xml:space="preserve">    </w:t>
      </w:r>
      <w:r>
        <w:rPr/>
        <w:t>Вариант 1:</w:t>
      </w:r>
    </w:p>
    <w:p>
      <w:pPr>
        <w:pStyle w:val="ConsPlusNonformat"/>
        <w:rPr/>
      </w:pPr>
      <w:r>
        <w:rPr/>
        <w:t xml:space="preserve">    </w:t>
      </w:r>
      <w:r>
        <w:rPr/>
        <w:t>В представленном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>(наименование нормативного правового акта, его проекта или иного документа)</w:t>
      </w:r>
    </w:p>
    <w:p>
      <w:pPr>
        <w:pStyle w:val="ConsPlusNonformat"/>
        <w:rPr/>
      </w:pPr>
      <w:r>
        <w:rPr/>
        <w:t>коррупциогенные факторы не выявлены.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 xml:space="preserve">    </w:t>
      </w:r>
      <w:r>
        <w:rPr/>
        <w:t>Вариант 2:</w:t>
      </w:r>
    </w:p>
    <w:p>
      <w:pPr>
        <w:pStyle w:val="ConsPlusNonformat"/>
        <w:rPr/>
      </w:pPr>
      <w:r>
        <w:rPr/>
        <w:t xml:space="preserve">    </w:t>
      </w:r>
      <w:r>
        <w:rPr/>
        <w:t>В представленном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>(наименование нормативного правового акта, его проекта или иного документа)</w:t>
      </w:r>
    </w:p>
    <w:p>
      <w:pPr>
        <w:pStyle w:val="ConsPlusNonformat"/>
        <w:rPr/>
      </w:pPr>
      <w:r>
        <w:rPr/>
        <w:t xml:space="preserve">выявлены коррупциогенные факторы </w:t>
      </w:r>
      <w:hyperlink w:anchor="Par155" w:tgtFrame="Ссылка на текущий документ">
        <w:r>
          <w:rPr>
            <w:rStyle w:val="ListLabel3"/>
          </w:rPr>
          <w:t>&lt;1&gt;</w:t>
        </w:r>
      </w:hyperlink>
      <w:r>
        <w:rPr/>
        <w:t>.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 xml:space="preserve">    </w:t>
      </w:r>
      <w:r>
        <w:rPr/>
        <w:t>В целях устранения  выявленных  коррупциогенных  факторов  предлагается</w:t>
      </w:r>
    </w:p>
    <w:p>
      <w:pPr>
        <w:pStyle w:val="ConsPlusNonformat"/>
        <w:rPr/>
      </w:pPr>
      <w:r>
        <w:rPr/>
        <w:t>____________________________________________ (указывается способ устранения</w:t>
      </w:r>
    </w:p>
    <w:p>
      <w:pPr>
        <w:pStyle w:val="ConsPlusNonformat"/>
        <w:rPr/>
      </w:pPr>
      <w:r>
        <w:rPr/>
        <w:t>коррупциогенных  факторов:  исключения из текста документа, изложение его в</w:t>
      </w:r>
    </w:p>
    <w:p>
      <w:pPr>
        <w:pStyle w:val="ConsPlusNonformat"/>
        <w:rPr/>
      </w:pPr>
      <w:r>
        <w:rPr/>
        <w:t>другой редакции, внесение иных изменений в текст рассматриваемого документа</w:t>
      </w:r>
    </w:p>
    <w:p>
      <w:pPr>
        <w:pStyle w:val="ConsPlusNonformat"/>
        <w:rPr/>
      </w:pPr>
      <w:r>
        <w:rPr/>
        <w:t>либо в иной документ или иной способ устранения коррупциогенных факторов).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>______________________________ _____________ ______________________________</w:t>
      </w:r>
    </w:p>
    <w:p>
      <w:pPr>
        <w:pStyle w:val="ConsPlusNonformat"/>
        <w:rPr/>
      </w:pPr>
      <w:r>
        <w:rPr/>
        <w:t xml:space="preserve">   </w:t>
      </w:r>
      <w:r>
        <w:rPr/>
        <w:t>(наименование должности)      (подпись)         (инициалы, фамилия)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ind w:firstLine="540"/>
        <w:jc w:val="both"/>
        <w:rPr/>
      </w:pPr>
      <w:bookmarkStart w:id="2" w:name="Par155"/>
      <w:bookmarkEnd w:id="2"/>
      <w:r>
        <w:rPr/>
        <w:t xml:space="preserve"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31" w:tgtFrame="Постановление Правительства РФ от 26.02.2010 N 96 (ред. от 27.03.2013) Об антикоррупционной экспертизе нормативных правовых актов и проектов нормативных правовых актов">
        <w:r>
          <w:rPr>
            <w:rStyle w:val="ListLabel3"/>
          </w:rPr>
          <w:t>методики</w:t>
        </w:r>
      </w:hyperlink>
      <w:r>
        <w:rPr/>
        <w:t>, утвержденной постановлением Правительства Российской Федерации от 26 февраля 2010 г. N 96.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sectPr>
          <w:headerReference w:type="default" r:id="rId32"/>
          <w:footerReference w:type="default" r:id="rId33"/>
          <w:type w:val="nextPage"/>
          <w:pgSz w:w="11906" w:h="16838"/>
          <w:pgMar w:left="1418" w:right="851" w:header="0" w:top="1134" w:footer="0" w:bottom="851" w:gutter="0"/>
          <w:pgNumType w:fmt="decimal"/>
          <w:formProt w:val="false"/>
          <w:textDirection w:val="lrTb"/>
          <w:docGrid w:type="default" w:linePitch="100" w:charSpace="4096"/>
        </w:sect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  <w:bookmarkStart w:id="3" w:name="Par165"/>
      <w:bookmarkStart w:id="4" w:name="Par165"/>
      <w:bookmarkEnd w:id="4"/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2</w:t>
      </w:r>
    </w:p>
    <w:p>
      <w:pPr>
        <w:pStyle w:val="ConsPlusNonformat"/>
        <w:spacing w:lineRule="auto" w:line="2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 о проведении антикоррупционной экспертизы нормативных правовых актов и проектов нормативных</w:t>
      </w:r>
    </w:p>
    <w:p>
      <w:pPr>
        <w:pStyle w:val="ConsPlusNonformat"/>
        <w:spacing w:lineRule="auto" w:line="2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правовых актов федеральными органами исполнительной власти и независимыми экспертами в соответствии</w:t>
      </w:r>
    </w:p>
    <w:p>
      <w:pPr>
        <w:pStyle w:val="ConsPlusNonformat"/>
        <w:spacing w:lineRule="auto" w:line="216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с Федеральным </w:t>
      </w:r>
      <w:hyperlink r:id="rId34" w:tgtFrame="Федеральный закон от 17.07.2009 N 172-ФЗ (ред. от 21.11.2011) Об антикоррупционной экспертизе нормативных правовых актов и проектов нормативных правовых актов&quot;{КонсультантПлюс}">
        <w:r>
          <w:rPr>
            <w:rStyle w:val="ListLabel2"/>
            <w:rFonts w:cs="Times New Roman" w:ascii="Times New Roman" w:hAnsi="Times New Roman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от 17 июля 2009 г. N 172-ФЗ "Об антикоррупционной экспертизе нормативных правовых актов </w:t>
      </w:r>
    </w:p>
    <w:p>
      <w:pPr>
        <w:pStyle w:val="ConsPlusNonformat"/>
        <w:spacing w:lineRule="auto" w:line="2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проектов нормативных правовых актов" за период______ гг.</w:t>
      </w:r>
    </w:p>
    <w:p>
      <w:pPr>
        <w:pStyle w:val="ConsPlusNonformat"/>
        <w:spacing w:lineRule="auto" w:line="216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nformat"/>
        <w:spacing w:lineRule="auto" w:line="216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___________________________________________________________________________</w:t>
      </w:r>
    </w:p>
    <w:p>
      <w:pPr>
        <w:pStyle w:val="ConsPlusNonformat"/>
        <w:spacing w:lineRule="auto" w:line="216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</w:t>
      </w:r>
      <w:r>
        <w:rPr>
          <w:rFonts w:cs="Times New Roman" w:ascii="Times New Roman" w:hAnsi="Times New Roman"/>
          <w:sz w:val="18"/>
          <w:szCs w:val="18"/>
        </w:rPr>
        <w:t>(наименование федерального органа исполнительной власти)</w:t>
      </w:r>
    </w:p>
    <w:p>
      <w:pPr>
        <w:pStyle w:val="ConsPlusNonformat"/>
        <w:spacing w:lineRule="auto" w:line="216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___________________________________________________________________________</w:t>
      </w:r>
    </w:p>
    <w:p>
      <w:pPr>
        <w:pStyle w:val="ConsPlusNonformat"/>
        <w:spacing w:lineRule="auto" w:line="216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</w:t>
      </w:r>
      <w:r>
        <w:rPr>
          <w:rFonts w:cs="Times New Roman" w:ascii="Times New Roman" w:hAnsi="Times New Roman"/>
          <w:sz w:val="18"/>
          <w:szCs w:val="18"/>
        </w:rPr>
        <w:t>(наименование, дата подписания, номер(-а) нормативного правового акта</w:t>
      </w:r>
    </w:p>
    <w:p>
      <w:pPr>
        <w:pStyle w:val="ConsPlusNonformat"/>
        <w:spacing w:lineRule="auto" w:line="216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</w:t>
      </w:r>
      <w:r>
        <w:rPr>
          <w:rFonts w:cs="Times New Roman" w:ascii="Times New Roman" w:hAnsi="Times New Roman"/>
          <w:sz w:val="18"/>
          <w:szCs w:val="18"/>
        </w:rPr>
        <w:t>федерального органа исполнительной власти, устанавливающего порядок</w:t>
      </w:r>
    </w:p>
    <w:p>
      <w:pPr>
        <w:pStyle w:val="ConsPlusNonformat"/>
        <w:spacing w:lineRule="auto" w:line="216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</w:t>
      </w:r>
      <w:r>
        <w:rPr>
          <w:rFonts w:cs="Times New Roman" w:ascii="Times New Roman" w:hAnsi="Times New Roman"/>
          <w:sz w:val="18"/>
          <w:szCs w:val="18"/>
        </w:rPr>
        <w:t>проведения антикоррупционной экспертизы нормативного правового акта,</w:t>
      </w:r>
    </w:p>
    <w:p>
      <w:pPr>
        <w:pStyle w:val="ConsPlusNonformat"/>
        <w:spacing w:lineRule="auto" w:line="216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</w:t>
      </w:r>
      <w:r>
        <w:rPr>
          <w:rFonts w:cs="Times New Roman" w:ascii="Times New Roman" w:hAnsi="Times New Roman"/>
          <w:sz w:val="18"/>
          <w:szCs w:val="18"/>
        </w:rPr>
        <w:t>а также организации мониторинга правоприменения)</w:t>
      </w:r>
    </w:p>
    <w:p>
      <w:pPr>
        <w:pStyle w:val="ConsPlusNonformat"/>
        <w:spacing w:lineRule="auto" w:line="216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nformat"/>
        <w:spacing w:lineRule="auto" w:line="216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Таблица N 1</w:t>
      </w:r>
    </w:p>
    <w:p>
      <w:pPr>
        <w:pStyle w:val="ConsPlusNormal"/>
        <w:spacing w:lineRule="auto" w:line="21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tbl>
      <w:tblPr>
        <w:tblW w:w="13440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5" w:type="dxa"/>
        </w:tblCellMar>
        <w:tblLook w:firstRow="0" w:noVBand="0" w:lastRow="0" w:firstColumn="0" w:lastColumn="0" w:noHBand="0" w:val="0000"/>
      </w:tblPr>
      <w:tblGrid>
        <w:gridCol w:w="1799"/>
        <w:gridCol w:w="1200"/>
        <w:gridCol w:w="1201"/>
        <w:gridCol w:w="1200"/>
        <w:gridCol w:w="1080"/>
        <w:gridCol w:w="1081"/>
        <w:gridCol w:w="1079"/>
        <w:gridCol w:w="1"/>
        <w:gridCol w:w="960"/>
        <w:gridCol w:w="360"/>
        <w:gridCol w:w="960"/>
        <w:gridCol w:w="359"/>
        <w:gridCol w:w="1"/>
        <w:gridCol w:w="1081"/>
        <w:gridCol w:w="1077"/>
      </w:tblGrid>
      <w:tr>
        <w:trPr/>
        <w:tc>
          <w:tcPr>
            <w:tcW w:w="13439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Антикоррупционная экспертиза, проводимая федеральным органом исполнительной власти в ходе правовой экспертизы                                     </w:t>
            </w:r>
          </w:p>
        </w:tc>
      </w:tr>
      <w:tr>
        <w:trPr/>
        <w:tc>
          <w:tcPr>
            <w:tcW w:w="17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НПА </w:t>
            </w:r>
            <w:hyperlink w:anchor="Par239" w:tgtFrame="Ссылка на текущий документ">
              <w:r>
                <w:rPr>
                  <w:rStyle w:val="ListLabel4"/>
                  <w:rFonts w:cs="Times New Roman" w:ascii="Times New Roman" w:hAnsi="Times New Roman"/>
                  <w:sz w:val="18"/>
                  <w:szCs w:val="18"/>
                </w:rPr>
                <w:t>&lt;1&gt;</w:t>
              </w:r>
            </w:hyperlink>
            <w:r>
              <w:rPr>
                <w:rFonts w:cs="Times New Roman" w:ascii="Times New Roman" w:hAnsi="Times New Roman"/>
                <w:sz w:val="18"/>
                <w:szCs w:val="18"/>
              </w:rPr>
              <w:br/>
              <w:t>(проекты НПА)</w:t>
            </w:r>
          </w:p>
        </w:tc>
        <w:tc>
          <w:tcPr>
            <w:tcW w:w="24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Количество  </w:t>
              <w:br/>
              <w:t xml:space="preserve">  НПА (проектов  </w:t>
              <w:br/>
              <w:t xml:space="preserve">НПА), по которым </w:t>
              <w:br/>
              <w:t xml:space="preserve">    проведена    </w:t>
              <w:br/>
              <w:t>антикоррупционная</w:t>
              <w:br/>
              <w:t xml:space="preserve">   экспертиза    </w:t>
            </w:r>
          </w:p>
        </w:tc>
        <w:tc>
          <w:tcPr>
            <w:tcW w:w="228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2. Количество  </w:t>
              <w:br/>
              <w:t xml:space="preserve"> НПА (проектов  </w:t>
              <w:br/>
              <w:t xml:space="preserve">     НПА) с     </w:t>
              <w:br/>
              <w:t xml:space="preserve">  выявленными   </w:t>
              <w:br/>
              <w:t>коррупциогенными</w:t>
              <w:br/>
              <w:t xml:space="preserve">   факторами    </w:t>
            </w:r>
          </w:p>
        </w:tc>
        <w:tc>
          <w:tcPr>
            <w:tcW w:w="21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3. Количество </w:t>
              <w:br/>
              <w:t xml:space="preserve">  выявленных   </w:t>
              <w:br/>
              <w:t>коррупциогенных</w:t>
              <w:br/>
              <w:t xml:space="preserve">факторов в НПА </w:t>
              <w:br/>
              <w:t xml:space="preserve">(проектах НПА) </w:t>
            </w:r>
          </w:p>
        </w:tc>
        <w:tc>
          <w:tcPr>
            <w:tcW w:w="2640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4. Три наиболее </w:t>
              <w:br/>
              <w:t xml:space="preserve"> распространенных</w:t>
              <w:br/>
              <w:t xml:space="preserve">    выявленных   </w:t>
              <w:br/>
              <w:t xml:space="preserve"> коррупциогенных </w:t>
              <w:br/>
              <w:t xml:space="preserve">     фактора,    </w:t>
              <w:br/>
              <w:t xml:space="preserve">    процентное   </w:t>
              <w:br/>
              <w:t xml:space="preserve"> соотношение </w:t>
            </w:r>
            <w:hyperlink w:anchor="Par240" w:tgtFrame="Ссылка на текущий документ">
              <w:r>
                <w:rPr>
                  <w:rStyle w:val="ListLabel4"/>
                  <w:rFonts w:cs="Times New Roman" w:ascii="Times New Roman" w:hAnsi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5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5. Количество </w:t>
              <w:br/>
              <w:t xml:space="preserve">      НПА      </w:t>
              <w:br/>
              <w:t>(проектов НПА),</w:t>
              <w:br/>
              <w:t xml:space="preserve">   в которых   </w:t>
              <w:br/>
              <w:t xml:space="preserve">   устранены   </w:t>
              <w:br/>
              <w:t>коррупциогенные</w:t>
              <w:br/>
              <w:t xml:space="preserve">    факторы    </w:t>
              <w:br/>
              <w:t xml:space="preserve">(из графы N 2) </w:t>
            </w:r>
          </w:p>
        </w:tc>
      </w:tr>
      <w:tr>
        <w:trPr/>
        <w:tc>
          <w:tcPr>
            <w:tcW w:w="17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период </w:t>
            </w:r>
          </w:p>
        </w:tc>
        <w:tc>
          <w:tcPr>
            <w:tcW w:w="12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период </w:t>
            </w:r>
          </w:p>
        </w:tc>
        <w:tc>
          <w:tcPr>
            <w:tcW w:w="12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период </w:t>
            </w:r>
          </w:p>
        </w:tc>
        <w:tc>
          <w:tcPr>
            <w:tcW w:w="1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период </w:t>
            </w:r>
          </w:p>
        </w:tc>
        <w:tc>
          <w:tcPr>
            <w:tcW w:w="10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период </w:t>
            </w:r>
          </w:p>
        </w:tc>
        <w:tc>
          <w:tcPr>
            <w:tcW w:w="108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период </w:t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период</w:t>
            </w: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период</w:t>
            </w:r>
          </w:p>
        </w:tc>
        <w:tc>
          <w:tcPr>
            <w:tcW w:w="3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период </w:t>
            </w:r>
          </w:p>
        </w:tc>
        <w:tc>
          <w:tcPr>
            <w:tcW w:w="10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период </w:t>
            </w:r>
          </w:p>
        </w:tc>
      </w:tr>
      <w:tr>
        <w:trPr/>
        <w:tc>
          <w:tcPr>
            <w:tcW w:w="179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НПА     </w:t>
            </w:r>
          </w:p>
        </w:tc>
        <w:tc>
          <w:tcPr>
            <w:tcW w:w="120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   </w:t>
            </w: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7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79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gridSpan w:val="2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2.    </w:t>
            </w: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79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gridSpan w:val="2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3.    </w:t>
            </w: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79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законопроекты</w:t>
            </w:r>
          </w:p>
        </w:tc>
        <w:tc>
          <w:tcPr>
            <w:tcW w:w="120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   </w:t>
            </w: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7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79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gridSpan w:val="2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2.    </w:t>
            </w: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79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gridSpan w:val="2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3.    </w:t>
            </w: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79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проекты   </w:t>
              <w:br/>
              <w:t xml:space="preserve">   указов    </w:t>
            </w:r>
          </w:p>
        </w:tc>
        <w:tc>
          <w:tcPr>
            <w:tcW w:w="120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   </w:t>
            </w: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7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79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gridSpan w:val="2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2.    </w:t>
            </w: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79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gridSpan w:val="2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3.    </w:t>
            </w: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79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проекты   </w:t>
              <w:br/>
              <w:t>постановлений</w:t>
              <w:br/>
              <w:t>Правительства</w:t>
              <w:br/>
              <w:t xml:space="preserve">     РФ      </w:t>
            </w:r>
          </w:p>
        </w:tc>
        <w:tc>
          <w:tcPr>
            <w:tcW w:w="120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   </w:t>
            </w: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7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79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gridSpan w:val="2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2.    </w:t>
            </w: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79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gridSpan w:val="2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3.    </w:t>
            </w: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79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проекты   </w:t>
              <w:br/>
              <w:t>ведомственных</w:t>
              <w:br/>
              <w:t xml:space="preserve">     НПА     </w:t>
            </w:r>
          </w:p>
        </w:tc>
        <w:tc>
          <w:tcPr>
            <w:tcW w:w="120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   </w:t>
            </w: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7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79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gridSpan w:val="2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2.    </w:t>
            </w: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79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gridSpan w:val="2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3.    </w:t>
            </w: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79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ВСЕГО:    </w:t>
            </w:r>
          </w:p>
        </w:tc>
        <w:tc>
          <w:tcPr>
            <w:tcW w:w="120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   </w:t>
            </w: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7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79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gridSpan w:val="2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2.    </w:t>
            </w: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79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gridSpan w:val="2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3.    </w:t>
            </w: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7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spacing w:lineRule="auto" w:line="21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ConsPlusNormal"/>
        <w:spacing w:lineRule="auto" w:line="21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spacing w:lineRule="auto" w:line="216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--------------------------------</w:t>
      </w:r>
    </w:p>
    <w:p>
      <w:pPr>
        <w:pStyle w:val="ConsPlusNormal"/>
        <w:spacing w:lineRule="auto" w:line="216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5" w:name="Par239"/>
      <w:bookmarkEnd w:id="5"/>
      <w:r>
        <w:rPr>
          <w:rFonts w:cs="Times New Roman" w:ascii="Times New Roman" w:hAnsi="Times New Roman"/>
          <w:sz w:val="18"/>
          <w:szCs w:val="18"/>
        </w:rPr>
        <w:t>&lt;1&gt; Нормативный правовой акт.</w:t>
      </w:r>
    </w:p>
    <w:p>
      <w:pPr>
        <w:sectPr>
          <w:headerReference w:type="default" r:id="rId38"/>
          <w:footerReference w:type="default" r:id="rId39"/>
          <w:type w:val="nextPage"/>
          <w:pgSz w:orient="landscape" w:w="16838" w:h="11906"/>
          <w:pgMar w:left="1418" w:right="851" w:header="0" w:top="1134" w:footer="0" w:bottom="851" w:gutter="0"/>
          <w:pgNumType w:fmt="decimal"/>
          <w:formProt w:val="false"/>
          <w:textDirection w:val="lrTb"/>
          <w:docGrid w:type="default" w:linePitch="100" w:charSpace="4096"/>
        </w:sectPr>
        <w:pStyle w:val="ConsPlusNormal"/>
        <w:spacing w:lineRule="auto" w:line="216"/>
        <w:ind w:firstLine="540"/>
        <w:jc w:val="both"/>
        <w:rPr/>
      </w:pPr>
      <w:bookmarkStart w:id="6" w:name="Par240"/>
      <w:bookmarkEnd w:id="6"/>
      <w:r>
        <w:rPr>
          <w:rFonts w:cs="Times New Roman" w:ascii="Times New Roman" w:hAnsi="Times New Roman"/>
          <w:sz w:val="18"/>
          <w:szCs w:val="18"/>
        </w:rPr>
        <w:t xml:space="preserve">&lt;2&gt; Указать коррупциогенные факторы по </w:t>
      </w:r>
      <w:hyperlink r:id="rId35" w:tgtFrame="Постановление Правительства РФ от 26.02.2010 N 96 (ред. от 27.03.2013) Об антикоррупционной экспертизе нормативных правовых актов и проектов нормативных правовых актов">
        <w:r>
          <w:rPr>
            <w:rStyle w:val="ListLabel4"/>
            <w:rFonts w:cs="Times New Roman" w:ascii="Times New Roman" w:hAnsi="Times New Roman"/>
            <w:sz w:val="18"/>
            <w:szCs w:val="18"/>
          </w:rPr>
          <w:t>Методике</w:t>
        </w:r>
      </w:hyperlink>
      <w:r>
        <w:rPr>
          <w:rFonts w:cs="Times New Roman" w:ascii="Times New Roman" w:hAnsi="Times New Roman"/>
          <w:sz w:val="18"/>
          <w:szCs w:val="18"/>
        </w:rPr>
        <w:t xml:space="preserve"> (например, </w:t>
      </w:r>
      <w:hyperlink r:id="rId36" w:tgtFrame="Постановление Правительства РФ от 26.02.2010 N 96 (ред. от 27.03.2013) Об антикоррупционной экспертизе нормативных правовых актов и проектов нормативных правовых актов">
        <w:r>
          <w:rPr>
            <w:rStyle w:val="ListLabel4"/>
            <w:rFonts w:cs="Times New Roman" w:ascii="Times New Roman" w:hAnsi="Times New Roman"/>
            <w:sz w:val="18"/>
            <w:szCs w:val="18"/>
          </w:rPr>
          <w:t>пп. "а" п. 3</w:t>
        </w:r>
      </w:hyperlink>
      <w:r>
        <w:rPr>
          <w:rFonts w:cs="Times New Roman" w:ascii="Times New Roman" w:hAnsi="Times New Roman"/>
          <w:sz w:val="18"/>
          <w:szCs w:val="18"/>
        </w:rPr>
        <w:t xml:space="preserve"> М, утв. ПП N 96 либо </w:t>
      </w:r>
      <w:hyperlink r:id="rId37" w:tgtFrame="Постановление Правительства РФ от 26.02.2010 N 96 (ред. от 27.03.2013) Об антикоррупционной экспертизе нормативных правовых актов и проектов нормативных правовых актов">
        <w:r>
          <w:rPr>
            <w:rStyle w:val="ListLabel4"/>
            <w:rFonts w:cs="Times New Roman" w:ascii="Times New Roman" w:hAnsi="Times New Roman"/>
            <w:sz w:val="18"/>
            <w:szCs w:val="18"/>
          </w:rPr>
          <w:t>пп. "б" п. 3</w:t>
        </w:r>
      </w:hyperlink>
      <w:r>
        <w:rPr>
          <w:rFonts w:cs="Times New Roman" w:ascii="Times New Roman" w:hAnsi="Times New Roman"/>
          <w:sz w:val="18"/>
          <w:szCs w:val="18"/>
        </w:rPr>
        <w:t xml:space="preserve"> М, утв. ПП N 96), а также их процентное соотношение от общего количества выявленных коррупциогенных факторов (из графы N 3).</w:t>
      </w:r>
      <w:r>
        <w:rPr/>
        <w:t xml:space="preserve"> </w:t>
      </w:r>
    </w:p>
    <w:p>
      <w:pPr>
        <w:pStyle w:val="ConsPlusNormal"/>
        <w:spacing w:lineRule="auto" w:line="232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3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nformat"/>
        <w:rPr/>
      </w:pPr>
      <w:r>
        <w:rPr/>
        <w:t xml:space="preserve">                                </w:t>
      </w:r>
      <w:r>
        <w:rPr/>
        <w:t>Информация</w:t>
      </w:r>
    </w:p>
    <w:p>
      <w:pPr>
        <w:pStyle w:val="ConsPlusNonformat"/>
        <w:rPr/>
      </w:pPr>
      <w:r>
        <w:rPr/>
        <w:t xml:space="preserve">          </w:t>
      </w:r>
      <w:r>
        <w:rPr/>
        <w:t>о полученных федеральным органом исполнительной власти</w:t>
      </w:r>
    </w:p>
    <w:p>
      <w:pPr>
        <w:pStyle w:val="ConsPlusNonformat"/>
        <w:rPr/>
      </w:pPr>
      <w:r>
        <w:rPr/>
        <w:t xml:space="preserve">         </w:t>
      </w:r>
      <w:r>
        <w:rPr/>
        <w:t>заключениях по результатам независимой антикоррупционной</w:t>
      </w:r>
    </w:p>
    <w:p>
      <w:pPr>
        <w:pStyle w:val="ConsPlusNonformat"/>
        <w:rPr/>
      </w:pPr>
      <w:r>
        <w:rPr/>
        <w:t xml:space="preserve">                       </w:t>
      </w:r>
      <w:r>
        <w:rPr/>
        <w:t>экспертизы за период      г.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     </w:t>
      </w:r>
      <w:r>
        <w:rPr/>
        <w:t>(наименование федерального органа исполнительной власти)</w:t>
      </w:r>
    </w:p>
    <w:p>
      <w:pPr>
        <w:pStyle w:val="ConsPlusNormal"/>
        <w:jc w:val="both"/>
        <w:rPr/>
      </w:pPr>
      <w:r>
        <w:rPr/>
      </w:r>
    </w:p>
    <w:tbl>
      <w:tblPr>
        <w:tblW w:w="9312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5" w:type="dxa"/>
        </w:tblCellMar>
        <w:tblLook w:firstRow="0" w:noVBand="0" w:lastRow="0" w:firstColumn="0" w:lastColumn="0" w:noHBand="0" w:val="0000"/>
      </w:tblPr>
      <w:tblGrid>
        <w:gridCol w:w="480"/>
        <w:gridCol w:w="960"/>
        <w:gridCol w:w="959"/>
        <w:gridCol w:w="1"/>
        <w:gridCol w:w="864"/>
        <w:gridCol w:w="864"/>
        <w:gridCol w:w="865"/>
        <w:gridCol w:w="863"/>
        <w:gridCol w:w="1"/>
        <w:gridCol w:w="864"/>
        <w:gridCol w:w="863"/>
        <w:gridCol w:w="1"/>
        <w:gridCol w:w="864"/>
        <w:gridCol w:w="861"/>
      </w:tblGrid>
      <w:tr>
        <w:trPr>
          <w:trHeight w:val="320" w:hRule="atLeast"/>
        </w:trPr>
        <w:tc>
          <w:tcPr>
            <w:tcW w:w="931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          </w:t>
            </w:r>
            <w:r>
              <w:rPr>
                <w:rFonts w:cs="Courier New" w:ascii="Courier New" w:hAnsi="Courier New"/>
                <w:sz w:val="16"/>
                <w:szCs w:val="16"/>
              </w:rPr>
              <w:t xml:space="preserve">1. Независимая антикоррупционная экспертиза проектов нормативных           </w:t>
              <w:br/>
              <w:t xml:space="preserve">                                   правовых актов                                    </w:t>
            </w:r>
          </w:p>
        </w:tc>
      </w:tr>
      <w:tr>
        <w:trPr>
          <w:trHeight w:val="1600" w:hRule="atLeast"/>
        </w:trPr>
        <w:tc>
          <w:tcPr>
            <w:tcW w:w="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 </w:t>
            </w:r>
            <w:r>
              <w:rPr>
                <w:rFonts w:cs="Courier New" w:ascii="Courier New" w:hAnsi="Courier New"/>
                <w:sz w:val="16"/>
                <w:szCs w:val="16"/>
              </w:rPr>
              <w:t xml:space="preserve">N </w:t>
              <w:br/>
              <w:t>п/п</w:t>
            </w:r>
          </w:p>
        </w:tc>
        <w:tc>
          <w:tcPr>
            <w:tcW w:w="191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/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   </w:t>
            </w:r>
            <w:r>
              <w:rPr>
                <w:rFonts w:cs="Courier New" w:ascii="Courier New" w:hAnsi="Courier New"/>
                <w:sz w:val="16"/>
                <w:szCs w:val="16"/>
              </w:rPr>
              <w:t xml:space="preserve">Количество    </w:t>
              <w:br/>
              <w:t xml:space="preserve">проектов НПА </w:t>
            </w:r>
            <w:hyperlink w:anchor="Par302" w:tgtFrame="Ссылка на текущий документ">
              <w:r>
                <w:rPr>
                  <w:rStyle w:val="ListLabel5"/>
                  <w:rFonts w:cs="Courier New" w:ascii="Courier New" w:hAnsi="Courier New"/>
                  <w:sz w:val="16"/>
                  <w:szCs w:val="16"/>
                </w:rPr>
                <w:t>&lt;1&gt;</w:t>
              </w:r>
            </w:hyperlink>
            <w:r>
              <w:rPr>
                <w:rFonts w:cs="Courier New" w:ascii="Courier New" w:hAnsi="Courier New"/>
                <w:sz w:val="16"/>
                <w:szCs w:val="16"/>
              </w:rPr>
              <w:t>,</w:t>
              <w:br/>
              <w:t xml:space="preserve">  размещенных в  </w:t>
              <w:br/>
              <w:t>сети Интернет для</w:t>
              <w:br/>
              <w:t xml:space="preserve">   проведения    </w:t>
              <w:br/>
              <w:t xml:space="preserve">   независимой   </w:t>
              <w:br/>
              <w:t xml:space="preserve">  экспертизы (с  </w:t>
              <w:br/>
              <w:t xml:space="preserve"> указанием вида  </w:t>
              <w:br/>
              <w:t xml:space="preserve">  проекта НПА)   </w:t>
            </w:r>
          </w:p>
        </w:tc>
        <w:tc>
          <w:tcPr>
            <w:tcW w:w="172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  </w:t>
            </w:r>
            <w:r>
              <w:rPr>
                <w:rFonts w:cs="Courier New" w:ascii="Courier New" w:hAnsi="Courier New"/>
                <w:sz w:val="16"/>
                <w:szCs w:val="16"/>
              </w:rPr>
              <w:t xml:space="preserve">Количество   </w:t>
              <w:br/>
              <w:t xml:space="preserve">  заключений,  </w:t>
              <w:br/>
              <w:t xml:space="preserve">поступивших от </w:t>
              <w:br/>
              <w:t xml:space="preserve">  независимых  </w:t>
              <w:br/>
              <w:t xml:space="preserve">   экспертов   </w:t>
            </w:r>
          </w:p>
        </w:tc>
        <w:tc>
          <w:tcPr>
            <w:tcW w:w="17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  </w:t>
            </w:r>
            <w:r>
              <w:rPr>
                <w:rFonts w:cs="Courier New" w:ascii="Courier New" w:hAnsi="Courier New"/>
                <w:sz w:val="16"/>
                <w:szCs w:val="16"/>
              </w:rPr>
              <w:t xml:space="preserve">Количество   </w:t>
              <w:br/>
              <w:t xml:space="preserve"> проектов НПА, </w:t>
              <w:br/>
              <w:t xml:space="preserve">  по которым   </w:t>
              <w:br/>
              <w:t xml:space="preserve">  составлены   </w:t>
              <w:br/>
              <w:t xml:space="preserve">  заключения   </w:t>
              <w:br/>
              <w:t xml:space="preserve">  независимых  </w:t>
              <w:br/>
              <w:t xml:space="preserve">  экспертов о  </w:t>
              <w:br/>
              <w:t xml:space="preserve">  выявленных   </w:t>
              <w:br/>
              <w:t>коррупциогенных</w:t>
              <w:br/>
              <w:t xml:space="preserve">   факторах    </w:t>
            </w:r>
          </w:p>
        </w:tc>
        <w:tc>
          <w:tcPr>
            <w:tcW w:w="172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    </w:t>
            </w:r>
            <w:r>
              <w:rPr>
                <w:rFonts w:cs="Courier New" w:ascii="Courier New" w:hAnsi="Courier New"/>
                <w:sz w:val="16"/>
                <w:szCs w:val="16"/>
              </w:rPr>
              <w:t xml:space="preserve">Указать    </w:t>
              <w:br/>
              <w:t xml:space="preserve">  выявленные   </w:t>
              <w:br/>
              <w:t>коррупциогенные</w:t>
              <w:br/>
              <w:t xml:space="preserve">    факторы    </w:t>
            </w:r>
          </w:p>
        </w:tc>
        <w:tc>
          <w:tcPr>
            <w:tcW w:w="172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  </w:t>
            </w:r>
            <w:r>
              <w:rPr>
                <w:rFonts w:cs="Courier New" w:ascii="Courier New" w:hAnsi="Courier New"/>
                <w:sz w:val="16"/>
                <w:szCs w:val="16"/>
              </w:rPr>
              <w:t xml:space="preserve">Количество   </w:t>
              <w:br/>
              <w:t>проектов НПА, в</w:t>
              <w:br/>
              <w:t xml:space="preserve">которых учтены </w:t>
              <w:br/>
              <w:t xml:space="preserve">   замечания   </w:t>
              <w:br/>
              <w:t xml:space="preserve">  независимых  </w:t>
              <w:br/>
              <w:t xml:space="preserve">   экспертов   </w:t>
            </w:r>
          </w:p>
        </w:tc>
      </w:tr>
      <w:tr>
        <w:trPr>
          <w:trHeight w:val="320" w:hRule="atLeast"/>
        </w:trPr>
        <w:tc>
          <w:tcPr>
            <w:tcW w:w="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/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 </w:t>
            </w:r>
            <w:r>
              <w:rPr>
                <w:rFonts w:cs="Courier New" w:ascii="Courier New" w:hAnsi="Courier New"/>
                <w:sz w:val="16"/>
                <w:szCs w:val="16"/>
              </w:rPr>
              <w:t xml:space="preserve">период </w:t>
              <w:br/>
            </w:r>
            <w:hyperlink w:anchor="Par303" w:tgtFrame="Ссылка на текущий документ">
              <w:r>
                <w:rPr>
                  <w:rStyle w:val="ListLabel5"/>
                  <w:rFonts w:cs="Courier New" w:ascii="Courier New" w:hAnsi="Courier New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/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 </w:t>
            </w:r>
            <w:r>
              <w:rPr>
                <w:rFonts w:cs="Courier New" w:ascii="Courier New" w:hAnsi="Courier New"/>
                <w:sz w:val="16"/>
                <w:szCs w:val="16"/>
              </w:rPr>
              <w:t xml:space="preserve">период </w:t>
              <w:br/>
            </w:r>
            <w:hyperlink w:anchor="Par304" w:tgtFrame="Ссылка на текущий документ">
              <w:r>
                <w:rPr>
                  <w:rStyle w:val="ListLabel5"/>
                  <w:rFonts w:cs="Courier New" w:ascii="Courier New" w:hAnsi="Courier New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/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период </w:t>
              <w:br/>
            </w:r>
            <w:hyperlink w:anchor="Par303" w:tgtFrame="Ссылка на текущий документ">
              <w:r>
                <w:rPr>
                  <w:rStyle w:val="ListLabel5"/>
                  <w:rFonts w:cs="Courier New" w:ascii="Courier New" w:hAnsi="Courier New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/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период </w:t>
              <w:br/>
            </w:r>
            <w:hyperlink w:anchor="Par304" w:tgtFrame="Ссылка на текущий документ">
              <w:r>
                <w:rPr>
                  <w:rStyle w:val="ListLabel5"/>
                  <w:rFonts w:cs="Courier New" w:ascii="Courier New" w:hAnsi="Courier New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/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период </w:t>
              <w:br/>
            </w:r>
            <w:hyperlink w:anchor="Par303" w:tgtFrame="Ссылка на текущий документ">
              <w:r>
                <w:rPr>
                  <w:rStyle w:val="ListLabel5"/>
                  <w:rFonts w:cs="Courier New" w:ascii="Courier New" w:hAnsi="Courier New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/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период </w:t>
              <w:br/>
            </w:r>
            <w:hyperlink w:anchor="Par304" w:tgtFrame="Ссылка на текущий документ">
              <w:r>
                <w:rPr>
                  <w:rStyle w:val="ListLabel5"/>
                  <w:rFonts w:cs="Courier New" w:ascii="Courier New" w:hAnsi="Courier New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/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период </w:t>
              <w:br/>
            </w:r>
            <w:hyperlink w:anchor="Par303" w:tgtFrame="Ссылка на текущий документ">
              <w:r>
                <w:rPr>
                  <w:rStyle w:val="ListLabel5"/>
                  <w:rFonts w:cs="Courier New" w:ascii="Courier New" w:hAnsi="Courier New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/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период </w:t>
              <w:br/>
            </w:r>
            <w:hyperlink w:anchor="Par304" w:tgtFrame="Ссылка на текущий документ">
              <w:r>
                <w:rPr>
                  <w:rStyle w:val="ListLabel5"/>
                  <w:rFonts w:cs="Courier New" w:ascii="Courier New" w:hAnsi="Courier New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/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период </w:t>
              <w:br/>
            </w:r>
            <w:hyperlink w:anchor="Par303" w:tgtFrame="Ссылка на текущий документ">
              <w:r>
                <w:rPr>
                  <w:rStyle w:val="ListLabel5"/>
                  <w:rFonts w:cs="Courier New" w:ascii="Courier New" w:hAnsi="Courier New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/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период </w:t>
              <w:br/>
            </w:r>
            <w:hyperlink w:anchor="Par304" w:tgtFrame="Ссылка на текущий документ">
              <w:r>
                <w:rPr>
                  <w:rStyle w:val="ListLabel5"/>
                  <w:rFonts w:cs="Courier New" w:ascii="Courier New" w:hAnsi="Courier New"/>
                  <w:sz w:val="16"/>
                  <w:szCs w:val="16"/>
                </w:rPr>
                <w:t>&lt;3&gt;</w:t>
              </w:r>
            </w:hyperlink>
          </w:p>
        </w:tc>
      </w:tr>
      <w:tr>
        <w:trPr/>
        <w:tc>
          <w:tcPr>
            <w:tcW w:w="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9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9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9310" w:type="dxa"/>
            <w:gridSpan w:val="14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       </w:t>
            </w:r>
            <w:r>
              <w:rPr>
                <w:rFonts w:cs="Courier New" w:ascii="Courier New" w:hAnsi="Courier New"/>
                <w:sz w:val="16"/>
                <w:szCs w:val="16"/>
              </w:rPr>
              <w:t xml:space="preserve">2. Независимая антикоррупционная экспертиза нормативных правовых актов        </w:t>
            </w:r>
          </w:p>
        </w:tc>
      </w:tr>
      <w:tr>
        <w:trPr>
          <w:trHeight w:val="1600" w:hRule="atLeast"/>
        </w:trPr>
        <w:tc>
          <w:tcPr>
            <w:tcW w:w="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 </w:t>
            </w:r>
            <w:r>
              <w:rPr>
                <w:rFonts w:cs="Courier New" w:ascii="Courier New" w:hAnsi="Courier New"/>
                <w:sz w:val="16"/>
                <w:szCs w:val="16"/>
              </w:rPr>
              <w:t xml:space="preserve">N </w:t>
              <w:br/>
              <w:t>п/п</w:t>
            </w:r>
          </w:p>
        </w:tc>
        <w:tc>
          <w:tcPr>
            <w:tcW w:w="191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   </w:t>
            </w:r>
            <w:r>
              <w:rPr>
                <w:rFonts w:cs="Courier New" w:ascii="Courier New" w:hAnsi="Courier New"/>
                <w:sz w:val="16"/>
                <w:szCs w:val="16"/>
              </w:rPr>
              <w:t xml:space="preserve">Количество    </w:t>
              <w:br/>
              <w:t xml:space="preserve">   поступивших   </w:t>
              <w:br/>
              <w:t xml:space="preserve">  заключений по  </w:t>
              <w:br/>
              <w:t xml:space="preserve">   результатам   </w:t>
              <w:br/>
              <w:t xml:space="preserve">   независимой   </w:t>
              <w:br/>
              <w:t>антикоррупционной</w:t>
              <w:br/>
              <w:t xml:space="preserve"> экспертизы НПА  </w:t>
            </w:r>
          </w:p>
        </w:tc>
        <w:tc>
          <w:tcPr>
            <w:tcW w:w="172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cs="Courier New" w:ascii="Courier New" w:hAnsi="Courier New"/>
                <w:sz w:val="16"/>
                <w:szCs w:val="16"/>
              </w:rPr>
              <w:t>Количество НПА,</w:t>
              <w:br/>
              <w:t xml:space="preserve">   в которых   </w:t>
              <w:br/>
              <w:t xml:space="preserve">   выявлены    </w:t>
              <w:br/>
              <w:t>коррупциогенные</w:t>
              <w:br/>
              <w:t xml:space="preserve">  факторы (с   </w:t>
              <w:br/>
              <w:t xml:space="preserve">указанием вида </w:t>
              <w:br/>
              <w:t xml:space="preserve">     НПА)      </w:t>
            </w:r>
          </w:p>
        </w:tc>
        <w:tc>
          <w:tcPr>
            <w:tcW w:w="17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    </w:t>
            </w:r>
            <w:r>
              <w:rPr>
                <w:rFonts w:cs="Courier New" w:ascii="Courier New" w:hAnsi="Courier New"/>
                <w:sz w:val="16"/>
                <w:szCs w:val="16"/>
              </w:rPr>
              <w:t xml:space="preserve">Указать    </w:t>
              <w:br/>
              <w:t xml:space="preserve">  выявленные   </w:t>
              <w:br/>
              <w:t>коррупциогенные</w:t>
              <w:br/>
              <w:t xml:space="preserve">    факторы    </w:t>
            </w:r>
          </w:p>
        </w:tc>
        <w:tc>
          <w:tcPr>
            <w:tcW w:w="172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   </w:t>
            </w:r>
            <w:r>
              <w:rPr>
                <w:rFonts w:cs="Courier New" w:ascii="Courier New" w:hAnsi="Courier New"/>
                <w:sz w:val="16"/>
                <w:szCs w:val="16"/>
              </w:rPr>
              <w:t xml:space="preserve">Результат   </w:t>
              <w:br/>
              <w:t xml:space="preserve"> рассмотрения  </w:t>
              <w:br/>
              <w:t xml:space="preserve">  заключений   </w:t>
              <w:br/>
              <w:t xml:space="preserve">  (учтено/не   </w:t>
              <w:br/>
              <w:t xml:space="preserve">    учтено)    </w:t>
            </w:r>
          </w:p>
        </w:tc>
        <w:tc>
          <w:tcPr>
            <w:tcW w:w="172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  </w:t>
            </w:r>
            <w:r>
              <w:rPr>
                <w:rFonts w:cs="Courier New" w:ascii="Courier New" w:hAnsi="Courier New"/>
                <w:sz w:val="16"/>
                <w:szCs w:val="16"/>
              </w:rPr>
              <w:t xml:space="preserve">Количество   </w:t>
              <w:br/>
              <w:t xml:space="preserve"> проектов НПА, </w:t>
              <w:br/>
              <w:t xml:space="preserve">подготовленных </w:t>
              <w:br/>
              <w:t xml:space="preserve">    в целях    </w:t>
              <w:br/>
              <w:t xml:space="preserve"> исключения из </w:t>
              <w:br/>
              <w:t xml:space="preserve">НПА выявленных </w:t>
              <w:br/>
              <w:t>коррупциогенных</w:t>
              <w:br/>
              <w:t xml:space="preserve">  факторов (с  </w:t>
              <w:br/>
              <w:t xml:space="preserve">указанием вида </w:t>
              <w:br/>
              <w:t xml:space="preserve"> проекта НПА)  </w:t>
            </w:r>
          </w:p>
        </w:tc>
      </w:tr>
      <w:tr>
        <w:trPr>
          <w:trHeight w:val="320" w:hRule="atLeast"/>
        </w:trPr>
        <w:tc>
          <w:tcPr>
            <w:tcW w:w="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/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 </w:t>
            </w:r>
            <w:r>
              <w:rPr>
                <w:rFonts w:cs="Courier New" w:ascii="Courier New" w:hAnsi="Courier New"/>
                <w:sz w:val="16"/>
                <w:szCs w:val="16"/>
              </w:rPr>
              <w:t xml:space="preserve">период </w:t>
              <w:br/>
            </w:r>
            <w:hyperlink w:anchor="Par303" w:tgtFrame="Ссылка на текущий документ">
              <w:r>
                <w:rPr>
                  <w:rStyle w:val="ListLabel5"/>
                  <w:rFonts w:cs="Courier New" w:ascii="Courier New" w:hAnsi="Courier New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/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 </w:t>
            </w:r>
            <w:r>
              <w:rPr>
                <w:rFonts w:cs="Courier New" w:ascii="Courier New" w:hAnsi="Courier New"/>
                <w:sz w:val="16"/>
                <w:szCs w:val="16"/>
              </w:rPr>
              <w:t xml:space="preserve">период </w:t>
              <w:br/>
            </w:r>
            <w:hyperlink w:anchor="Par304" w:tgtFrame="Ссылка на текущий документ">
              <w:r>
                <w:rPr>
                  <w:rStyle w:val="ListLabel5"/>
                  <w:rFonts w:cs="Courier New" w:ascii="Courier New" w:hAnsi="Courier New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/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период </w:t>
              <w:br/>
            </w:r>
            <w:hyperlink w:anchor="Par303" w:tgtFrame="Ссылка на текущий документ">
              <w:r>
                <w:rPr>
                  <w:rStyle w:val="ListLabel5"/>
                  <w:rFonts w:cs="Courier New" w:ascii="Courier New" w:hAnsi="Courier New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/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период </w:t>
              <w:br/>
            </w:r>
            <w:hyperlink w:anchor="Par304" w:tgtFrame="Ссылка на текущий документ">
              <w:r>
                <w:rPr>
                  <w:rStyle w:val="ListLabel5"/>
                  <w:rFonts w:cs="Courier New" w:ascii="Courier New" w:hAnsi="Courier New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/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период </w:t>
              <w:br/>
            </w:r>
            <w:hyperlink w:anchor="Par303" w:tgtFrame="Ссылка на текущий документ">
              <w:r>
                <w:rPr>
                  <w:rStyle w:val="ListLabel5"/>
                  <w:rFonts w:cs="Courier New" w:ascii="Courier New" w:hAnsi="Courier New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/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период </w:t>
              <w:br/>
            </w:r>
            <w:hyperlink w:anchor="Par304" w:tgtFrame="Ссылка на текущий документ">
              <w:r>
                <w:rPr>
                  <w:rStyle w:val="ListLabel5"/>
                  <w:rFonts w:cs="Courier New" w:ascii="Courier New" w:hAnsi="Courier New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/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период </w:t>
              <w:br/>
            </w:r>
            <w:hyperlink w:anchor="Par303" w:tgtFrame="Ссылка на текущий документ">
              <w:r>
                <w:rPr>
                  <w:rStyle w:val="ListLabel5"/>
                  <w:rFonts w:cs="Courier New" w:ascii="Courier New" w:hAnsi="Courier New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/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период </w:t>
              <w:br/>
            </w:r>
            <w:hyperlink w:anchor="Par304" w:tgtFrame="Ссылка на текущий документ">
              <w:r>
                <w:rPr>
                  <w:rStyle w:val="ListLabel5"/>
                  <w:rFonts w:cs="Courier New" w:ascii="Courier New" w:hAnsi="Courier New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/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период </w:t>
              <w:br/>
            </w:r>
            <w:hyperlink w:anchor="Par303" w:tgtFrame="Ссылка на текущий документ">
              <w:r>
                <w:rPr>
                  <w:rStyle w:val="ListLabel5"/>
                  <w:rFonts w:cs="Courier New" w:ascii="Courier New" w:hAnsi="Courier New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/>
            </w:pPr>
            <w:r>
              <w:rPr>
                <w:rFonts w:cs="Courier New" w:ascii="Courier New" w:hAnsi="Courier New"/>
                <w:sz w:val="16"/>
                <w:szCs w:val="16"/>
              </w:rPr>
              <w:t xml:space="preserve">период </w:t>
              <w:br/>
            </w:r>
            <w:hyperlink w:anchor="Par304" w:tgtFrame="Ссылка на текущий документ">
              <w:r>
                <w:rPr>
                  <w:rStyle w:val="ListLabel5"/>
                  <w:rFonts w:cs="Courier New" w:ascii="Courier New" w:hAnsi="Courier New"/>
                  <w:sz w:val="16"/>
                  <w:szCs w:val="16"/>
                </w:rPr>
                <w:t>&lt;3&gt;</w:t>
              </w:r>
            </w:hyperlink>
          </w:p>
        </w:tc>
      </w:tr>
      <w:tr>
        <w:trPr/>
        <w:tc>
          <w:tcPr>
            <w:tcW w:w="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9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9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ind w:firstLine="540"/>
        <w:jc w:val="both"/>
        <w:rPr/>
      </w:pPr>
      <w:bookmarkStart w:id="7" w:name="Par302"/>
      <w:bookmarkEnd w:id="7"/>
      <w:r>
        <w:rPr/>
        <w:t>&lt;1&gt; Нормативный правовой акт.</w:t>
      </w:r>
    </w:p>
    <w:p>
      <w:pPr>
        <w:pStyle w:val="ConsPlusNormal"/>
        <w:ind w:firstLine="540"/>
        <w:jc w:val="both"/>
        <w:rPr/>
      </w:pPr>
      <w:bookmarkStart w:id="8" w:name="Par303"/>
      <w:bookmarkEnd w:id="8"/>
      <w:r>
        <w:rPr/>
        <w:t>&lt;2&gt; Аналогичный период прошлого года.</w:t>
      </w:r>
    </w:p>
    <w:p>
      <w:pPr>
        <w:pStyle w:val="ConsPlusNormal"/>
        <w:ind w:firstLine="540"/>
        <w:jc w:val="both"/>
        <w:rPr/>
      </w:pPr>
      <w:bookmarkStart w:id="9" w:name="Par304"/>
      <w:bookmarkEnd w:id="9"/>
      <w:r>
        <w:rPr/>
        <w:t>&lt;3&gt; Отчетный период.</w:t>
      </w:r>
    </w:p>
    <w:p>
      <w:pPr>
        <w:pStyle w:val="ConsPlusNormal"/>
        <w:ind w:firstLine="540"/>
        <w:jc w:val="both"/>
        <w:rPr/>
      </w:pPr>
      <w:r>
        <w:rPr/>
      </w:r>
    </w:p>
    <w:sectPr>
      <w:headerReference w:type="default" r:id="rId40"/>
      <w:footerReference w:type="default" r:id="rId41"/>
      <w:type w:val="nextPage"/>
      <w:pgSz w:w="11906" w:h="16838"/>
      <w:pgMar w:left="1418" w:right="851" w:header="0" w:top="1134" w:footer="0" w:bottom="85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>
        <w:bottom w:val="single" w:sz="12" w:space="0" w:color="00000A"/>
      </w:pBdr>
      <w:spacing w:lineRule="auto" w:line="240" w:before="0" w:after="0"/>
      <w:jc w:val="center"/>
      <w:rPr>
        <w:rFonts w:ascii="Times New Roman" w:hAnsi="Times New Roman" w:cs="Times New Roman"/>
        <w:sz w:val="2"/>
        <w:szCs w:val="2"/>
      </w:rPr>
    </w:pPr>
    <w:r>
      <w:rPr>
        <w:rFonts w:cs="Times New Roman" w:ascii="Times New Roman" w:hAnsi="Times New Roman"/>
        <w:sz w:val="10"/>
        <w:szCs w:val="10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>
        <w:bottom w:val="single" w:sz="12" w:space="0" w:color="00000A"/>
      </w:pBdr>
      <w:spacing w:lineRule="auto" w:line="240" w:before="0" w:after="0"/>
      <w:jc w:val="center"/>
      <w:rPr>
        <w:rFonts w:ascii="Times New Roman" w:hAnsi="Times New Roman" w:cs="Times New Roman"/>
        <w:sz w:val="2"/>
        <w:szCs w:val="2"/>
      </w:rPr>
    </w:pPr>
    <w:r>
      <w:rPr>
        <w:rFonts w:cs="Times New Roman" w:ascii="Times New Roman" w:hAnsi="Times New Roman"/>
        <w:sz w:val="10"/>
        <w:szCs w:val="10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>
        <w:bottom w:val="single" w:sz="12" w:space="0" w:color="00000A"/>
      </w:pBdr>
      <w:spacing w:lineRule="auto" w:line="240" w:before="0" w:after="0"/>
      <w:jc w:val="center"/>
      <w:rPr>
        <w:rFonts w:ascii="Times New Roman" w:hAnsi="Times New Roman" w:cs="Times New Roman"/>
        <w:sz w:val="2"/>
        <w:szCs w:val="2"/>
      </w:rPr>
    </w:pPr>
    <w:r>
      <w:rPr>
        <w:rFonts w:cs="Times New Roman" w:ascii="Times New Roman" w:hAnsi="Times New Roman"/>
        <w:sz w:val="10"/>
        <w:szCs w:val="10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enter" w:pos="4677" w:leader="none"/>
        <w:tab w:val="right" w:pos="9355" w:leader="none"/>
      </w:tabs>
      <w:spacing w:before="0" w:after="200"/>
      <w:rPr/>
    </w:pPr>
    <w:r>
      <w:rPr>
        <w:szCs w:val="10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enter" w:pos="4677" w:leader="none"/>
        <w:tab w:val="right" w:pos="9355" w:leader="none"/>
      </w:tabs>
      <w:spacing w:before="0" w:after="200"/>
      <w:rPr/>
    </w:pPr>
    <w:r>
      <w:rPr>
        <w:szCs w:val="10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enter" w:pos="4677" w:leader="none"/>
        <w:tab w:val="right" w:pos="9355" w:leader="none"/>
      </w:tabs>
      <w:spacing w:before="0" w:after="200"/>
      <w:rPr/>
    </w:pPr>
    <w:r>
      <w:rPr>
        <w:szCs w:val="10"/>
      </w:rPr>
      <w:t xml:space="preserve"> </w:t>
    </w:r>
  </w:p>
</w:hdr>
</file>

<file path=word/settings.xml><?xml version="1.0" encoding="utf-8"?>
<w:settings xmlns:w="http://schemas.openxmlformats.org/wordprocessingml/2006/main">
  <w:zoom w:percent="110"/>
  <w:embedSystemFonts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cs="" w:cstheme="minorBidi" w:ascii="Calibri" w:hAnsi="Calibri" w:eastAsia="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locked/>
    <w:rsid w:val="00d21e3d"/>
    <w:rPr>
      <w:rFonts w:cs="Times New Roman"/>
    </w:rPr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locked/>
    <w:rsid w:val="00d21e3d"/>
    <w:rPr>
      <w:rFonts w:cs="Times New Roman"/>
    </w:rPr>
  </w:style>
  <w:style w:type="character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styleId="ListLabel3">
    <w:name w:val="ListLabel 3"/>
    <w:qFormat/>
    <w:rPr/>
  </w:style>
  <w:style w:type="character" w:styleId="ListLabel4">
    <w:name w:val="ListLabel 4"/>
    <w:qFormat/>
    <w:rPr>
      <w:rFonts w:ascii="Times New Roman" w:hAnsi="Times New Roman" w:cs="Times New Roman"/>
      <w:sz w:val="18"/>
      <w:szCs w:val="18"/>
    </w:rPr>
  </w:style>
  <w:style w:type="character" w:styleId="ListLabel5">
    <w:name w:val="ListLabel 5"/>
    <w:qFormat/>
    <w:rPr>
      <w:rFonts w:ascii="Courier New" w:hAnsi="Courier New" w:cs="Courier New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22">
    <w:name w:val="Header"/>
    <w:basedOn w:val="Normal"/>
    <w:link w:val="a4"/>
    <w:uiPriority w:val="99"/>
    <w:semiHidden/>
    <w:unhideWhenUsed/>
    <w:rsid w:val="00d21e3d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6"/>
    <w:uiPriority w:val="99"/>
    <w:semiHidden/>
    <w:unhideWhenUsed/>
    <w:rsid w:val="00d21e3d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EAF0B3568A0DC6BDCBDF7EA7031AE6BBE05E28EB7B937B8E06480407486B74B099F22F72A619AA7BF01H" TargetMode="External"/><Relationship Id="rId3" Type="http://schemas.openxmlformats.org/officeDocument/2006/relationships/hyperlink" Target="14.05.200" TargetMode="External"/><Relationship Id="rId4" Type="http://schemas.openxmlformats.org/officeDocument/2006/relationships/hyperlink" Target="consultantplus://offline/ref=0EAF0B3568A0DC6BDCBDF7EA7031AE6BBE04E888B5B137B8E064804074B806H" TargetMode="External"/><Relationship Id="rId5" Type="http://schemas.openxmlformats.org/officeDocument/2006/relationships/hyperlink" Target="consultantplus://offline/ref=0EAF0B3568A0DC6BDCBDF7EA7031AE6BBE05E78FB4B037B8E064804074B806H" TargetMode="External"/><Relationship Id="rId6" Type="http://schemas.openxmlformats.org/officeDocument/2006/relationships/hyperlink" Target="consultantplus://offline/ref=0EAF0B3568A0DC6BDCBDF7EA7031AE6BBE03E388B1B137B8E064804074B806H" TargetMode="External"/><Relationship Id="rId7" Type="http://schemas.openxmlformats.org/officeDocument/2006/relationships/hyperlink" Target="consultantplus://offline/ref=0EAF0B3568A0DC6BDCBDF7EA7031AE6BBE05E28EB7B937B8E064804074B806H" TargetMode="External"/><Relationship Id="rId8" Type="http://schemas.openxmlformats.org/officeDocument/2006/relationships/hyperlink" Target="&#1089;" TargetMode="External"/><Relationship Id="rId9" Type="http://schemas.openxmlformats.org/officeDocument/2006/relationships/hyperlink" Target="&#1089;" TargetMode="External"/><Relationship Id="rId10" Type="http://schemas.openxmlformats.org/officeDocument/2006/relationships/hyperlink" Target="15.04.2013){&#1050;" TargetMode="External"/><Relationship Id="rId11" Type="http://schemas.openxmlformats.org/officeDocument/2006/relationships/hyperlink" Target="consultantplus://offline/ref=0EAF0B3568A0DC6BDCBDF7EA7031AE6BBE03E586B1B137B8E064804074B806H" TargetMode="External"/><Relationship Id="rId12" Type="http://schemas.openxmlformats.org/officeDocument/2006/relationships/hyperlink" Target="consultantplus://offline/ref=0EAF0B3568A0DC6BDCBDF7EA7031AE6BBE04E58CB1B537B8E064804074B806H" TargetMode="External"/><Relationship Id="rId13" Type="http://schemas.openxmlformats.org/officeDocument/2006/relationships/hyperlink" Target="consultantplus://offline/ref=0EAF0B3568A0DC6BDCBDF7EA7031AE6BBE03E48DB5B537B8E064804074B806H" TargetMode="External"/><Relationship Id="rId14" Type="http://schemas.openxmlformats.org/officeDocument/2006/relationships/hyperlink" Target="&#1089;" TargetMode="External"/><Relationship Id="rId15" Type="http://schemas.openxmlformats.org/officeDocument/2006/relationships/hyperlink" Target="&#1089;" TargetMode="External"/><Relationship Id="rId16" Type="http://schemas.openxmlformats.org/officeDocument/2006/relationships/hyperlink" Target="consultantplus://offline/ref=0EAF0B3568A0DC6BDCBDF7EA7031AE6BBE05E78FB4B037B8E06480407486B74B099F22F72A619AA7BF06H" TargetMode="External"/><Relationship Id="rId17" Type="http://schemas.openxmlformats.org/officeDocument/2006/relationships/hyperlink" Target="consultantplus://offline/ref=0EAF0B3568A0DC6BDCBDF7EA7031AE6BBE03E388B1B137B8E06480407486B74B099F22F72A619AACBF06H" TargetMode="External"/><Relationship Id="rId18" Type="http://schemas.openxmlformats.org/officeDocument/2006/relationships/hyperlink" Target="consultantplus://offline/ref=0EAF0B3568A0DC6BDCBDF7EA7031AE6BBE05E28EB7B937B8E06480407486B74B099F22F72A619AA7BF01H" TargetMode="External"/><Relationship Id="rId19" Type="http://schemas.openxmlformats.org/officeDocument/2006/relationships/hyperlink" Target="15.04.2013){&#1050;" TargetMode="External"/><Relationship Id="rId20" Type="http://schemas.openxmlformats.org/officeDocument/2006/relationships/hyperlink" Target="&#1089;" TargetMode="External"/><Relationship Id="rId21" Type="http://schemas.openxmlformats.org/officeDocument/2006/relationships/hyperlink" Target="&#1089;" TargetMode="External"/><Relationship Id="rId22" Type="http://schemas.openxmlformats.org/officeDocument/2006/relationships/hyperlink" Target="&#1089;" TargetMode="External"/><Relationship Id="rId23" Type="http://schemas.openxmlformats.org/officeDocument/2006/relationships/hyperlink" Target="consultantplus://offline/ref=0EAF0B3568A0DC6BDCBDF7EA7031AE6BBE03E586B1B137B8E06480407486B74B099F22F72A619BA4BF03H" TargetMode="External"/><Relationship Id="rId24" Type="http://schemas.openxmlformats.org/officeDocument/2006/relationships/hyperlink" Target="consultantplus://offline/ref=0EAF0B3568A0DC6BDCBDF7EA7031AE6BBE03E586B1B137B8E06480407486B74B099F22F729B606H" TargetMode="External"/><Relationship Id="rId25" Type="http://schemas.openxmlformats.org/officeDocument/2006/relationships/hyperlink" Target="consultantplus://offline/ref=0EAF0B3568A0DC6BDCBDF7EA7031AE6BBE03E486B3B837B8E06480407486B74B099F22F72A619AA5BF0BH" TargetMode="External"/><Relationship Id="rId26" Type="http://schemas.openxmlformats.org/officeDocument/2006/relationships/hyperlink" Target="&#1089;" TargetMode="External"/><Relationship Id="rId27" Type="http://schemas.openxmlformats.org/officeDocument/2006/relationships/hyperlink" Target="consultantplus://offline/ref=0EAF0B3568A0DC6BDCBDF7EA7031AE6BBE05E28EB7B937B8E064804074B806H" TargetMode="External"/><Relationship Id="rId28" Type="http://schemas.openxmlformats.org/officeDocument/2006/relationships/hyperlink" Target="consultantplus://offline/ref=0EAF0B3568A0DC6BDCBDF7EA7031AE6BBE03E68EB3B337B8E064804074B806H" TargetMode="External"/><Relationship Id="rId29" Type="http://schemas.openxmlformats.org/officeDocument/2006/relationships/hyperlink" Target="consultantplus://offline/ref=0EAF0B3568A0DC6BDCBDF7EA7031AE6BBE05E28EB7B937B8E06480407486B74B099F22F72A619AA6BF01H" TargetMode="External"/><Relationship Id="rId30" Type="http://schemas.openxmlformats.org/officeDocument/2006/relationships/hyperlink" Target="consultantplus://offline/ref=0EAF0B3568A0DC6BDCBDF7EA7031AE6BBE04E888B5B137B8E06480407486B74B099F22F72A619AA1BF04H" TargetMode="External"/><Relationship Id="rId31" Type="http://schemas.openxmlformats.org/officeDocument/2006/relationships/hyperlink" Target="&#1089;" TargetMode="External"/><Relationship Id="rId32" Type="http://schemas.openxmlformats.org/officeDocument/2006/relationships/header" Target="header1.xml"/><Relationship Id="rId33" Type="http://schemas.openxmlformats.org/officeDocument/2006/relationships/footer" Target="footer1.xml"/><Relationship Id="rId34" Type="http://schemas.openxmlformats.org/officeDocument/2006/relationships/hyperlink" Target="consultantplus://offline/ref=0EAF0B3568A0DC6BDCBDF7EA7031AE6BBE05E28EB7B937B8E064804074B806H" TargetMode="External"/><Relationship Id="rId35" Type="http://schemas.openxmlformats.org/officeDocument/2006/relationships/hyperlink" Target="&#1089;" TargetMode="External"/><Relationship Id="rId36" Type="http://schemas.openxmlformats.org/officeDocument/2006/relationships/hyperlink" Target="&#1089;" TargetMode="External"/><Relationship Id="rId37" Type="http://schemas.openxmlformats.org/officeDocument/2006/relationships/hyperlink" Target="&#1089;" TargetMode="External"/><Relationship Id="rId38" Type="http://schemas.openxmlformats.org/officeDocument/2006/relationships/header" Target="header2.xml"/><Relationship Id="rId39" Type="http://schemas.openxmlformats.org/officeDocument/2006/relationships/footer" Target="footer2.xml"/><Relationship Id="rId40" Type="http://schemas.openxmlformats.org/officeDocument/2006/relationships/header" Target="header3.xml"/><Relationship Id="rId41" Type="http://schemas.openxmlformats.org/officeDocument/2006/relationships/footer" Target="footer3.xml"/><Relationship Id="rId42" Type="http://schemas.openxmlformats.org/officeDocument/2006/relationships/fontTable" Target="fontTable.xml"/><Relationship Id="rId43" Type="http://schemas.openxmlformats.org/officeDocument/2006/relationships/settings" Target="settings.xml"/><Relationship Id="rId4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LibreOffice/6.0.3.2$Windows_x86 LibreOffice_project/8f48d515416608e3a835360314dac7e47fd0b821</Application>
  <Pages>17</Pages>
  <Words>3611</Words>
  <Characters>29035</Characters>
  <CharactersWithSpaces>33629</CharactersWithSpaces>
  <Paragraphs>234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2016-12-08T09:01:00Z</dcterms:created>
  <dc:creator> </dc:creator>
  <dc:description/>
  <dc:language>ru-RU</dc:language>
  <cp:lastModifiedBy>___</cp:lastModifiedBy>
  <dcterms:modified xsi:type="dcterms:W3CDTF">2016-12-14T13:43:00Z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2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