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обращений граждан за январь 2019 года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февраль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2019 года в Администрацию Комиссаровского сельского поселения поступило непосредственно от заявителей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: 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обращению жителей главой Администрации дано поручение оперативно разобраться по существу вопроса о предоставлении справки для подтверждения стажа.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рассмотрении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LibreOffice/6.0.3.2$Windows_x86 LibreOffice_project/8f48d515416608e3a835360314dac7e47fd0b821</Application>
  <Pages>1</Pages>
  <Words>73</Words>
  <Characters>505</Characters>
  <CharactersWithSpaces>570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2019-03-26T13:03:09Z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