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0D3461">
        <w:rPr>
          <w:bCs/>
          <w:kern w:val="1"/>
          <w:sz w:val="16"/>
          <w:szCs w:val="16"/>
          <w:lang w:eastAsia="zh-CN"/>
        </w:rPr>
        <w:t>3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 решению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Комиссаровского сельского поселения от</w:t>
      </w:r>
      <w:r w:rsidR="0066348E">
        <w:rPr>
          <w:bCs/>
          <w:kern w:val="1"/>
          <w:sz w:val="16"/>
          <w:szCs w:val="16"/>
          <w:lang w:eastAsia="zh-CN"/>
        </w:rPr>
        <w:t xml:space="preserve"> </w:t>
      </w:r>
      <w:r w:rsidRPr="000A7270">
        <w:rPr>
          <w:bCs/>
          <w:kern w:val="1"/>
          <w:sz w:val="16"/>
          <w:szCs w:val="16"/>
          <w:lang w:eastAsia="zh-CN"/>
        </w:rPr>
        <w:t xml:space="preserve"> </w:t>
      </w:r>
      <w:r w:rsidR="00BC7888">
        <w:rPr>
          <w:bCs/>
          <w:kern w:val="1"/>
          <w:sz w:val="16"/>
          <w:szCs w:val="16"/>
          <w:lang w:eastAsia="zh-CN"/>
        </w:rPr>
        <w:t>29.</w:t>
      </w:r>
      <w:r w:rsidR="000D3461">
        <w:rPr>
          <w:bCs/>
          <w:kern w:val="1"/>
          <w:sz w:val="16"/>
          <w:szCs w:val="16"/>
          <w:lang w:eastAsia="zh-CN"/>
        </w:rPr>
        <w:t>05</w:t>
      </w:r>
      <w:r w:rsidR="0066348E">
        <w:rPr>
          <w:bCs/>
          <w:kern w:val="1"/>
          <w:sz w:val="16"/>
          <w:szCs w:val="16"/>
          <w:lang w:eastAsia="zh-CN"/>
        </w:rPr>
        <w:t>.</w:t>
      </w:r>
      <w:r w:rsidRPr="000A7270">
        <w:rPr>
          <w:bCs/>
          <w:kern w:val="1"/>
          <w:sz w:val="16"/>
          <w:szCs w:val="16"/>
          <w:lang w:eastAsia="zh-CN"/>
        </w:rPr>
        <w:t xml:space="preserve">2019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 </w:t>
      </w:r>
      <w:r w:rsidR="00AD2750">
        <w:rPr>
          <w:bCs/>
          <w:kern w:val="1"/>
          <w:sz w:val="16"/>
          <w:szCs w:val="16"/>
          <w:lang w:eastAsia="zh-CN"/>
        </w:rPr>
        <w:t>9</w:t>
      </w:r>
      <w:r w:rsidR="00BC7888">
        <w:rPr>
          <w:bCs/>
          <w:kern w:val="1"/>
          <w:sz w:val="16"/>
          <w:szCs w:val="16"/>
          <w:lang w:eastAsia="zh-CN"/>
        </w:rPr>
        <w:t>3</w:t>
      </w:r>
      <w:bookmarkStart w:id="0" w:name="_GoBack"/>
      <w:bookmarkEnd w:id="0"/>
      <w:r w:rsidRPr="000A7270">
        <w:rPr>
          <w:bCs/>
          <w:kern w:val="1"/>
          <w:sz w:val="16"/>
          <w:szCs w:val="16"/>
          <w:lang w:eastAsia="zh-CN"/>
        </w:rPr>
        <w:t xml:space="preserve"> «О внесении изменений в решение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ПР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0D346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0D3461">
              <w:rPr>
                <w:b/>
              </w:rPr>
              <w:t>6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</w:pPr>
            <w:r>
              <w:t>10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0D3461">
              <w:rPr>
                <w:b/>
                <w:bCs/>
              </w:rPr>
              <w:t>605.</w:t>
            </w:r>
            <w:r>
              <w:rPr>
                <w:b/>
                <w:bCs/>
              </w:rPr>
              <w:t>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A7270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1647.4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B35DA" w:rsidP="0081643E">
            <w:pPr>
              <w:jc w:val="center"/>
            </w:pPr>
            <w:r>
              <w:t>46.6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004F1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suppressAutoHyphens/>
              <w:jc w:val="both"/>
              <w:rPr>
                <w:bCs/>
                <w:lang w:eastAsia="zh-CN"/>
              </w:rPr>
            </w:pPr>
            <w:r w:rsidRPr="007D2D04">
              <w:rPr>
                <w:bCs/>
                <w:color w:val="000000"/>
                <w:kern w:val="1"/>
                <w:lang w:eastAsia="zh-CN"/>
              </w:rPr>
              <w:t>Расходы на строительство и реконстр</w:t>
            </w:r>
            <w:r w:rsidR="007D2D04">
              <w:rPr>
                <w:bCs/>
                <w:color w:val="000000"/>
                <w:kern w:val="1"/>
                <w:lang w:eastAsia="zh-CN"/>
              </w:rPr>
              <w:t xml:space="preserve">укцию объектов теплоэнергетики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</w:rPr>
            </w:pPr>
            <w:r w:rsidRPr="007D2D04">
              <w:rPr>
                <w:bCs/>
                <w:lang w:eastAsia="zh-CN"/>
              </w:rPr>
              <w:t xml:space="preserve"> (Бюджетные инвестиции)</w:t>
            </w:r>
          </w:p>
        </w:tc>
        <w:tc>
          <w:tcPr>
            <w:tcW w:w="1544" w:type="dxa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 w:rsidRPr="00CB35DA">
              <w:rPr>
                <w:sz w:val="22"/>
                <w:szCs w:val="22"/>
              </w:rPr>
              <w:t>04 1 00 S3220</w:t>
            </w:r>
          </w:p>
        </w:tc>
        <w:tc>
          <w:tcPr>
            <w:tcW w:w="727" w:type="dxa"/>
          </w:tcPr>
          <w:p w:rsidR="00CB35DA" w:rsidRPr="00937FF1" w:rsidRDefault="00CB35DA" w:rsidP="00CB35DA">
            <w:r>
              <w:t>410</w:t>
            </w:r>
          </w:p>
        </w:tc>
        <w:tc>
          <w:tcPr>
            <w:tcW w:w="752" w:type="dxa"/>
          </w:tcPr>
          <w:p w:rsidR="00CB35DA" w:rsidRPr="00937FF1" w:rsidRDefault="00CB35DA" w:rsidP="00CB35DA">
            <w:r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>
              <w:t>02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1461.3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0D3461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3957</w:t>
            </w:r>
            <w:r w:rsidR="00144D2F">
              <w:rPr>
                <w:b/>
                <w:bCs/>
              </w:rPr>
              <w:t>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937FF1">
              <w:t>2855.7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0D3461" w:rsidP="00CB35DA">
            <w:pPr>
              <w:jc w:val="center"/>
            </w:pPr>
            <w:r>
              <w:t>8</w:t>
            </w:r>
            <w:r w:rsidR="00144D2F">
              <w:t>75.1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Комиссаровском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 в Комиссаровском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Комиссаровском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>Развитие физической культуры и спорта в Комиссаровском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>бы в Комиссаровском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поддержку лиц из </w:t>
            </w:r>
            <w:r>
              <w:rPr>
                <w:color w:val="000000"/>
                <w:spacing w:val="-6"/>
                <w:kern w:val="1"/>
                <w:lang w:eastAsia="en-US"/>
              </w:rPr>
              <w:lastRenderedPageBreak/>
              <w:t>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ления и муниципальной службы в 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>го самоуправления в Комиссаровском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>Развитие муниципального управления и муниципальной службы в Комиссаровском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 xml:space="preserve">Непрограммные расходы органа местного </w:t>
            </w:r>
            <w:r w:rsidRPr="00B44E86">
              <w:rPr>
                <w:b/>
              </w:rPr>
              <w:lastRenderedPageBreak/>
              <w:t>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lastRenderedPageBreak/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lastRenderedPageBreak/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E1" w:rsidRDefault="005245E1">
      <w:r>
        <w:separator/>
      </w:r>
    </w:p>
  </w:endnote>
  <w:endnote w:type="continuationSeparator" w:id="0">
    <w:p w:rsidR="005245E1" w:rsidRDefault="0052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E1" w:rsidRDefault="005245E1">
      <w:r>
        <w:separator/>
      </w:r>
    </w:p>
  </w:footnote>
  <w:footnote w:type="continuationSeparator" w:id="0">
    <w:p w:rsidR="005245E1" w:rsidRDefault="00524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7144-3BF8-4F00-A9C3-28A2AAABE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11</Pages>
  <Words>2517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85</cp:revision>
  <cp:lastPrinted>2018-11-09T09:52:00Z</cp:lastPrinted>
  <dcterms:created xsi:type="dcterms:W3CDTF">2016-11-18T04:21:00Z</dcterms:created>
  <dcterms:modified xsi:type="dcterms:W3CDTF">2019-05-30T12:40:00Z</dcterms:modified>
</cp:coreProperties>
</file>